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color w:val="000000" w:themeColor="text1"/>
          <w:sz w:val="84"/>
          <w:szCs w:val="84"/>
        </w:rPr>
      </w:pPr>
    </w:p>
    <w:p>
      <w:pPr>
        <w:widowControl/>
        <w:jc w:val="center"/>
        <w:rPr>
          <w:rFonts w:ascii="黑体" w:hAnsi="黑体" w:eastAsia="黑体"/>
          <w:b/>
          <w:color w:val="000000" w:themeColor="text1"/>
          <w:sz w:val="84"/>
          <w:szCs w:val="84"/>
        </w:rPr>
      </w:pPr>
      <w:r>
        <w:rPr>
          <w:rFonts w:hint="eastAsia" w:ascii="黑体" w:hAnsi="黑体" w:eastAsia="黑体"/>
          <w:b/>
          <w:color w:val="000000" w:themeColor="text1"/>
          <w:sz w:val="84"/>
          <w:szCs w:val="84"/>
        </w:rPr>
        <w:t>西安医学院</w:t>
      </w:r>
    </w:p>
    <w:p>
      <w:pPr>
        <w:widowControl/>
        <w:jc w:val="center"/>
        <w:rPr>
          <w:rFonts w:ascii="黑体" w:hAnsi="黑体" w:eastAsia="黑体"/>
          <w:b/>
          <w:color w:val="000000" w:themeColor="text1"/>
          <w:sz w:val="84"/>
          <w:szCs w:val="84"/>
        </w:rPr>
      </w:pPr>
    </w:p>
    <w:p>
      <w:pPr>
        <w:widowControl/>
        <w:jc w:val="center"/>
        <w:rPr>
          <w:rFonts w:ascii="黑体" w:hAnsi="黑体" w:eastAsia="黑体"/>
          <w:b/>
          <w:color w:val="000000" w:themeColor="text1"/>
          <w:sz w:val="84"/>
          <w:szCs w:val="84"/>
        </w:rPr>
      </w:pPr>
      <w:r>
        <w:rPr>
          <w:rFonts w:hint="eastAsia" w:ascii="黑体" w:hAnsi="黑体" w:eastAsia="黑体"/>
          <w:b/>
          <w:color w:val="000000" w:themeColor="text1"/>
          <w:sz w:val="84"/>
          <w:szCs w:val="84"/>
        </w:rPr>
        <w:t>2018年度部门决算说明</w:t>
      </w:r>
    </w:p>
    <w:p>
      <w:pPr>
        <w:widowControl/>
        <w:jc w:val="center"/>
        <w:rPr>
          <w:rFonts w:ascii="黑体" w:hAnsi="黑体" w:eastAsia="黑体"/>
          <w:b/>
          <w:color w:val="000000" w:themeColor="text1"/>
          <w:sz w:val="84"/>
          <w:szCs w:val="84"/>
        </w:rPr>
      </w:pPr>
    </w:p>
    <w:p>
      <w:pPr>
        <w:widowControl/>
        <w:jc w:val="left"/>
        <w:rPr>
          <w:rFonts w:ascii="黑体" w:hAnsi="黑体" w:eastAsia="黑体"/>
          <w:b/>
          <w:color w:val="000000" w:themeColor="text1"/>
          <w:sz w:val="84"/>
          <w:szCs w:val="84"/>
        </w:rPr>
      </w:pPr>
      <w:r>
        <w:rPr>
          <w:rFonts w:ascii="黑体" w:hAnsi="黑体" w:eastAsia="黑体"/>
          <w:b/>
          <w:color w:val="000000" w:themeColor="text1"/>
          <w:sz w:val="84"/>
          <w:szCs w:val="84"/>
        </w:rPr>
        <w:br w:type="page"/>
      </w:r>
    </w:p>
    <w:p>
      <w:pPr>
        <w:widowControl/>
        <w:jc w:val="center"/>
        <w:rPr>
          <w:rFonts w:ascii="黑体" w:hAnsi="黑体" w:eastAsia="黑体"/>
          <w:b/>
          <w:color w:val="000000" w:themeColor="text1"/>
          <w:sz w:val="84"/>
          <w:szCs w:val="84"/>
        </w:rPr>
        <w:sectPr>
          <w:footerReference r:id="rId3" w:type="default"/>
          <w:pgSz w:w="11906" w:h="16838"/>
          <w:pgMar w:top="1440" w:right="1077" w:bottom="1440" w:left="1077" w:header="851" w:footer="567" w:gutter="0"/>
          <w:cols w:space="425" w:num="1"/>
          <w:docGrid w:linePitch="312" w:charSpace="0"/>
        </w:sectPr>
      </w:pPr>
    </w:p>
    <w:p>
      <w:pPr>
        <w:widowControl/>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部门决算收支总表</w:t>
      </w:r>
    </w:p>
    <w:tbl>
      <w:tblPr>
        <w:tblStyle w:val="5"/>
        <w:tblW w:w="13907" w:type="dxa"/>
        <w:tblInd w:w="93" w:type="dxa"/>
        <w:tblLayout w:type="autofit"/>
        <w:tblCellMar>
          <w:top w:w="0" w:type="dxa"/>
          <w:left w:w="108" w:type="dxa"/>
          <w:bottom w:w="0" w:type="dxa"/>
          <w:right w:w="108" w:type="dxa"/>
        </w:tblCellMar>
      </w:tblPr>
      <w:tblGrid>
        <w:gridCol w:w="4300"/>
        <w:gridCol w:w="2519"/>
        <w:gridCol w:w="3581"/>
        <w:gridCol w:w="672"/>
        <w:gridCol w:w="2835"/>
      </w:tblGrid>
      <w:tr>
        <w:tblPrEx>
          <w:tblCellMar>
            <w:top w:w="0" w:type="dxa"/>
            <w:left w:w="108" w:type="dxa"/>
            <w:bottom w:w="0" w:type="dxa"/>
            <w:right w:w="108" w:type="dxa"/>
          </w:tblCellMar>
        </w:tblPrEx>
        <w:trPr>
          <w:trHeight w:val="255" w:hRule="atLeast"/>
        </w:trPr>
        <w:tc>
          <w:tcPr>
            <w:tcW w:w="43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51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58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507"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批复01表</w:t>
            </w:r>
          </w:p>
        </w:tc>
      </w:tr>
      <w:tr>
        <w:tblPrEx>
          <w:tblCellMar>
            <w:top w:w="0" w:type="dxa"/>
            <w:left w:w="108" w:type="dxa"/>
            <w:bottom w:w="0" w:type="dxa"/>
            <w:right w:w="108" w:type="dxa"/>
          </w:tblCellMar>
        </w:tblPrEx>
        <w:trPr>
          <w:trHeight w:val="255" w:hRule="atLeast"/>
        </w:trPr>
        <w:tc>
          <w:tcPr>
            <w:tcW w:w="4300" w:type="dxa"/>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2519"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358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507"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6819"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收入</w:t>
            </w:r>
          </w:p>
        </w:tc>
        <w:tc>
          <w:tcPr>
            <w:tcW w:w="7088" w:type="dxa"/>
            <w:gridSpan w:val="3"/>
            <w:tcBorders>
              <w:top w:val="single" w:color="000000" w:sz="4" w:space="0"/>
              <w:left w:val="nil"/>
              <w:bottom w:val="single" w:color="000000" w:sz="4" w:space="0"/>
              <w:right w:val="single" w:color="000000" w:sz="8"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支出</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251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2835" w:type="dxa"/>
            <w:tcBorders>
              <w:top w:val="nil"/>
              <w:left w:val="nil"/>
              <w:bottom w:val="single" w:color="000000" w:sz="4" w:space="0"/>
              <w:right w:val="single" w:color="000000" w:sz="8"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1、财政拨款收入</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24,791.28</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1、一般公共服务支出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其中：一般公共预算财政拨款</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24,791.28</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2、外交支出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政府性基金预算财政拨款</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3、国防支出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国有资本经营预算财政拨款</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4、公共安全支出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2、上级补助收入</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5、教育支出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45,238.09</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3、事业收入</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12,334.19</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6、科学技术支出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其中：纳入财政专户管理的收费</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11,800.00</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7、文化体育与传媒支出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4、经营收入</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8、社会保障和就业支出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5、附属单位上缴收入</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9、医疗卫生与计划生育支出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6、其他收入</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1,052.54</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10、节能环保支出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11、城乡社区支出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12、农林水支出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13、交通运输支出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14、资源勘探信息等支出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15、商业服务业等支出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16、金融支出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17、援助其他地区支出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18、国土海洋气象等支出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19、住房保障支出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20、油物资储备支出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21、其他支出</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本年收入合计</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38,178.01</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本年支出合计</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47,877.12</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用事业基金弥补收支差额</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7,541.19</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结余分配 </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年初结转和结余</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2,997.13</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年末结转和结余</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839.20</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5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4253" w:type="dxa"/>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283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4300" w:type="dxa"/>
            <w:tcBorders>
              <w:top w:val="nil"/>
              <w:left w:val="single" w:color="000000" w:sz="4" w:space="0"/>
              <w:bottom w:val="single" w:color="000000" w:sz="8"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收入总计</w:t>
            </w:r>
          </w:p>
        </w:tc>
        <w:tc>
          <w:tcPr>
            <w:tcW w:w="251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48,716.32</w:t>
            </w:r>
          </w:p>
        </w:tc>
        <w:tc>
          <w:tcPr>
            <w:tcW w:w="4253" w:type="dxa"/>
            <w:gridSpan w:val="2"/>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支出总计</w:t>
            </w:r>
          </w:p>
        </w:tc>
        <w:tc>
          <w:tcPr>
            <w:tcW w:w="2835"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48,716.32</w:t>
            </w:r>
          </w:p>
        </w:tc>
      </w:tr>
      <w:tr>
        <w:tblPrEx>
          <w:tblCellMar>
            <w:top w:w="0" w:type="dxa"/>
            <w:left w:w="108" w:type="dxa"/>
            <w:bottom w:w="0" w:type="dxa"/>
            <w:right w:w="108" w:type="dxa"/>
          </w:tblCellMar>
        </w:tblPrEx>
        <w:trPr>
          <w:trHeight w:val="308" w:hRule="atLeast"/>
        </w:trPr>
        <w:tc>
          <w:tcPr>
            <w:tcW w:w="13907" w:type="dxa"/>
            <w:gridSpan w:val="5"/>
            <w:tcBorders>
              <w:top w:val="nil"/>
              <w:left w:val="nil"/>
              <w:bottom w:val="nil"/>
              <w:right w:val="nil"/>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注：本表反映部门本年度的总收支和年末结转结余情况;报表存在尾数差异因四舍五入造成，可以忽略不计。</w:t>
            </w:r>
          </w:p>
        </w:tc>
      </w:tr>
    </w:tbl>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部门决算收入总表</w:t>
      </w:r>
    </w:p>
    <w:tbl>
      <w:tblPr>
        <w:tblStyle w:val="5"/>
        <w:tblW w:w="14332" w:type="dxa"/>
        <w:tblInd w:w="93" w:type="dxa"/>
        <w:tblLayout w:type="autofit"/>
        <w:tblCellMar>
          <w:top w:w="0" w:type="dxa"/>
          <w:left w:w="108" w:type="dxa"/>
          <w:bottom w:w="0" w:type="dxa"/>
          <w:right w:w="108" w:type="dxa"/>
        </w:tblCellMar>
      </w:tblPr>
      <w:tblGrid>
        <w:gridCol w:w="340"/>
        <w:gridCol w:w="340"/>
        <w:gridCol w:w="340"/>
        <w:gridCol w:w="2681"/>
        <w:gridCol w:w="1559"/>
        <w:gridCol w:w="1559"/>
        <w:gridCol w:w="1560"/>
        <w:gridCol w:w="1559"/>
        <w:gridCol w:w="1559"/>
        <w:gridCol w:w="1559"/>
        <w:gridCol w:w="1276"/>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68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276"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批复02表</w:t>
            </w:r>
          </w:p>
        </w:tc>
      </w:tr>
      <w:tr>
        <w:tblPrEx>
          <w:tblCellMar>
            <w:top w:w="0" w:type="dxa"/>
            <w:left w:w="108" w:type="dxa"/>
            <w:bottom w:w="0" w:type="dxa"/>
            <w:right w:w="108" w:type="dxa"/>
          </w:tblCellMar>
        </w:tblPrEx>
        <w:trPr>
          <w:trHeight w:val="255" w:hRule="atLeast"/>
        </w:trPr>
        <w:tc>
          <w:tcPr>
            <w:tcW w:w="3701"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6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276"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370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本年收入合计</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财政拨款收入</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上级补助收入</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事业收入</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经营收入</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附属单位上缴收入</w:t>
            </w:r>
          </w:p>
        </w:tc>
        <w:tc>
          <w:tcPr>
            <w:tcW w:w="1276"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其他收入</w:t>
            </w:r>
          </w:p>
        </w:tc>
      </w:tr>
      <w:tr>
        <w:tblPrEx>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功能分类科目编码</w:t>
            </w:r>
          </w:p>
        </w:tc>
        <w:tc>
          <w:tcPr>
            <w:tcW w:w="2681"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科目名称</w:t>
            </w: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276"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6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276"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6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276"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3701"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38,178.01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24,791.28</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12,334.19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1,052.54</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教育支出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35,538.98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23,048.75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11,437.70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1,052.54</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20502</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普通教育</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35,488.98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22,998.75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11,437.70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1,052.54</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2050205</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高等教育</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35,488.98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22,998.75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11,437.70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1,052.54</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20599</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其他教育支出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2059999</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其他教育支出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社会保障和就业支出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20805</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行政事业单位离退休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2080502</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事业单位离退休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医疗卫生与计划生育支出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公立医院</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2100201</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综合医院</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2100299</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其他公立医院支出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356.00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356.00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21011</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行政事业单位医疗</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2101102</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事业单位医疗</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住房保障支出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896.49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22102</w:t>
            </w:r>
          </w:p>
        </w:tc>
        <w:tc>
          <w:tcPr>
            <w:tcW w:w="268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住房改革支出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896.49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270" w:hRule="atLeast"/>
        </w:trPr>
        <w:tc>
          <w:tcPr>
            <w:tcW w:w="1020" w:type="dxa"/>
            <w:gridSpan w:val="3"/>
            <w:tcBorders>
              <w:top w:val="nil"/>
              <w:left w:val="single" w:color="000000" w:sz="4"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2210201</w:t>
            </w:r>
          </w:p>
        </w:tc>
        <w:tc>
          <w:tcPr>
            <w:tcW w:w="2681"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住房公积金</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6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896.49</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645" w:hRule="atLeast"/>
        </w:trPr>
        <w:tc>
          <w:tcPr>
            <w:tcW w:w="14332" w:type="dxa"/>
            <w:gridSpan w:val="11"/>
            <w:tcBorders>
              <w:top w:val="nil"/>
              <w:left w:val="nil"/>
              <w:bottom w:val="nil"/>
              <w:right w:val="nil"/>
            </w:tcBorders>
            <w:shd w:val="clear" w:color="auto" w:fill="auto"/>
            <w:vAlign w:val="center"/>
          </w:tcPr>
          <w:p>
            <w:pPr>
              <w:widowControl/>
              <w:spacing w:after="240"/>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注：本表反映部门本年度取得的各项收入情况。 </w:t>
            </w:r>
          </w:p>
        </w:tc>
      </w:tr>
    </w:tbl>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部门决算支出总表</w:t>
      </w:r>
    </w:p>
    <w:tbl>
      <w:tblPr>
        <w:tblStyle w:val="5"/>
        <w:tblW w:w="13907" w:type="dxa"/>
        <w:tblInd w:w="93" w:type="dxa"/>
        <w:tblLayout w:type="autofit"/>
        <w:tblCellMar>
          <w:top w:w="0" w:type="dxa"/>
          <w:left w:w="108" w:type="dxa"/>
          <w:bottom w:w="0" w:type="dxa"/>
          <w:right w:w="108" w:type="dxa"/>
        </w:tblCellMar>
      </w:tblPr>
      <w:tblGrid>
        <w:gridCol w:w="340"/>
        <w:gridCol w:w="340"/>
        <w:gridCol w:w="340"/>
        <w:gridCol w:w="2860"/>
        <w:gridCol w:w="1600"/>
        <w:gridCol w:w="1481"/>
        <w:gridCol w:w="1559"/>
        <w:gridCol w:w="1560"/>
        <w:gridCol w:w="1559"/>
        <w:gridCol w:w="2268"/>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8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6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8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268"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批复03表</w:t>
            </w:r>
          </w:p>
        </w:tc>
      </w:tr>
      <w:tr>
        <w:tblPrEx>
          <w:tblCellMar>
            <w:top w:w="0" w:type="dxa"/>
            <w:left w:w="108" w:type="dxa"/>
            <w:bottom w:w="0" w:type="dxa"/>
            <w:right w:w="108" w:type="dxa"/>
          </w:tblCellMar>
        </w:tblPrEx>
        <w:trPr>
          <w:trHeight w:val="255" w:hRule="atLeast"/>
        </w:trPr>
        <w:tc>
          <w:tcPr>
            <w:tcW w:w="3880"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6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81"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268"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388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16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本年支出合计</w:t>
            </w:r>
          </w:p>
        </w:tc>
        <w:tc>
          <w:tcPr>
            <w:tcW w:w="148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基本支出</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项目支出</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上缴上级支出</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经营支出</w:t>
            </w:r>
          </w:p>
        </w:tc>
        <w:tc>
          <w:tcPr>
            <w:tcW w:w="2268"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对附属单位补助支出</w:t>
            </w:r>
          </w:p>
        </w:tc>
      </w:tr>
      <w:tr>
        <w:tblPrEx>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功能分类科目编码</w:t>
            </w:r>
          </w:p>
        </w:tc>
        <w:tc>
          <w:tcPr>
            <w:tcW w:w="286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科目名称</w:t>
            </w:r>
          </w:p>
        </w:tc>
        <w:tc>
          <w:tcPr>
            <w:tcW w:w="16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8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268"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6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8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268"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6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8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2268"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388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合计</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47,877.12</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29,812.27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18,064.85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教育支出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45,238.09</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27,879.24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17,358.85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20502</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普通教育</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45,188.09</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27,829.24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17,358.85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2050205</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高等教育</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45,188.09</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27,829.24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17,358.85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20599</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其他教育支出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2059999</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其他教育支出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社会保障和就业支出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20805</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行政事业单位离退休</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2080502</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事业单位离退休</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医疗卫生与计划生育支出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公立医院</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2100201</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综合医院</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350.00</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2100299</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其他公立医院支出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356.00</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356.00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21011</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行政事业单位医疗</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2101102</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事业单位医疗</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住房保障支出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22102</w:t>
            </w:r>
          </w:p>
        </w:tc>
        <w:tc>
          <w:tcPr>
            <w:tcW w:w="2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住房改革支出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4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2210201</w:t>
            </w:r>
          </w:p>
        </w:tc>
        <w:tc>
          <w:tcPr>
            <w:tcW w:w="2860"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住房公积金</w:t>
            </w:r>
          </w:p>
        </w:tc>
        <w:tc>
          <w:tcPr>
            <w:tcW w:w="160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481"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1,218.77</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2268"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3907" w:type="dxa"/>
            <w:gridSpan w:val="10"/>
            <w:tcBorders>
              <w:top w:val="nil"/>
              <w:left w:val="nil"/>
              <w:bottom w:val="nil"/>
              <w:right w:val="nil"/>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注：本表反映部门本年度各项支出情况。</w:t>
            </w:r>
          </w:p>
        </w:tc>
      </w:tr>
    </w:tbl>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部门决算财政拨款收支总表</w:t>
      </w:r>
    </w:p>
    <w:tbl>
      <w:tblPr>
        <w:tblStyle w:val="5"/>
        <w:tblW w:w="13482" w:type="dxa"/>
        <w:tblInd w:w="93" w:type="dxa"/>
        <w:tblLayout w:type="autofit"/>
        <w:tblCellMar>
          <w:top w:w="0" w:type="dxa"/>
          <w:left w:w="108" w:type="dxa"/>
          <w:bottom w:w="0" w:type="dxa"/>
          <w:right w:w="108" w:type="dxa"/>
        </w:tblCellMar>
      </w:tblPr>
      <w:tblGrid>
        <w:gridCol w:w="3400"/>
        <w:gridCol w:w="1300"/>
        <w:gridCol w:w="3520"/>
        <w:gridCol w:w="1300"/>
        <w:gridCol w:w="276"/>
        <w:gridCol w:w="1324"/>
        <w:gridCol w:w="519"/>
        <w:gridCol w:w="1843"/>
      </w:tblGrid>
      <w:tr>
        <w:tblPrEx>
          <w:tblCellMar>
            <w:top w:w="0" w:type="dxa"/>
            <w:left w:w="108" w:type="dxa"/>
            <w:bottom w:w="0" w:type="dxa"/>
            <w:right w:w="108" w:type="dxa"/>
          </w:tblCellMar>
        </w:tblPrEx>
        <w:trPr>
          <w:trHeight w:val="255" w:hRule="atLeast"/>
        </w:trPr>
        <w:tc>
          <w:tcPr>
            <w:tcW w:w="34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3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52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3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60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362"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批复04表</w:t>
            </w:r>
          </w:p>
        </w:tc>
      </w:tr>
      <w:tr>
        <w:tblPrEx>
          <w:tblCellMar>
            <w:top w:w="0" w:type="dxa"/>
            <w:left w:w="108" w:type="dxa"/>
            <w:bottom w:w="0" w:type="dxa"/>
            <w:right w:w="108" w:type="dxa"/>
          </w:tblCellMar>
        </w:tblPrEx>
        <w:trPr>
          <w:trHeight w:val="255" w:hRule="atLeast"/>
        </w:trPr>
        <w:tc>
          <w:tcPr>
            <w:tcW w:w="3400" w:type="dxa"/>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3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5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13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60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362"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4700"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收     入</w:t>
            </w:r>
          </w:p>
        </w:tc>
        <w:tc>
          <w:tcPr>
            <w:tcW w:w="8782" w:type="dxa"/>
            <w:gridSpan w:val="6"/>
            <w:tcBorders>
              <w:top w:val="single" w:color="000000" w:sz="4" w:space="0"/>
              <w:left w:val="nil"/>
              <w:bottom w:val="single" w:color="000000" w:sz="4" w:space="0"/>
              <w:right w:val="single" w:color="000000" w:sz="8"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支     出</w:t>
            </w:r>
          </w:p>
        </w:tc>
      </w:tr>
      <w:tr>
        <w:tblPrEx>
          <w:tblCellMar>
            <w:top w:w="0" w:type="dxa"/>
            <w:left w:w="108" w:type="dxa"/>
            <w:bottom w:w="0" w:type="dxa"/>
            <w:right w:w="108" w:type="dxa"/>
          </w:tblCellMar>
        </w:tblPrEx>
        <w:trPr>
          <w:trHeight w:val="293" w:hRule="atLeast"/>
        </w:trPr>
        <w:tc>
          <w:tcPr>
            <w:tcW w:w="340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    目</w:t>
            </w:r>
          </w:p>
        </w:tc>
        <w:tc>
          <w:tcPr>
            <w:tcW w:w="13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c>
          <w:tcPr>
            <w:tcW w:w="35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5262" w:type="dxa"/>
            <w:gridSpan w:val="5"/>
            <w:tcBorders>
              <w:top w:val="nil"/>
              <w:left w:val="nil"/>
              <w:bottom w:val="single" w:color="000000" w:sz="4" w:space="0"/>
              <w:right w:val="single" w:color="000000" w:sz="8"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r>
      <w:tr>
        <w:tblPrEx>
          <w:tblCellMar>
            <w:top w:w="0" w:type="dxa"/>
            <w:left w:w="108" w:type="dxa"/>
            <w:bottom w:w="0" w:type="dxa"/>
            <w:right w:w="108" w:type="dxa"/>
          </w:tblCellMar>
        </w:tblPrEx>
        <w:trPr>
          <w:trHeight w:val="615" w:hRule="atLeast"/>
        </w:trPr>
        <w:tc>
          <w:tcPr>
            <w:tcW w:w="34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3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3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7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合计</w:t>
            </w:r>
          </w:p>
        </w:tc>
        <w:tc>
          <w:tcPr>
            <w:tcW w:w="1843"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一般公共预算财政拨款</w:t>
            </w:r>
          </w:p>
        </w:tc>
        <w:tc>
          <w:tcPr>
            <w:tcW w:w="1843"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政府性基金预算财政拨款</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1、一般公共预算财政拨款</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24,791.28</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1、一般公共服务支出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2、政府性基金预算财政拨款</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2、外交支出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3、国有资本经营预算收入</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3、国防支出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4、公共安全支出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5、教育支出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25,206.68</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25,206.68</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6、科学技术支出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7、文化体育与传媒支出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8、社会保障和就业支出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9、医疗卫生与计划生育支出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10、节能环保支出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11、城乡社区支出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12、农林水支出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13、交通运输支出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14、资源勘探信息等支出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15、商业服务业等支出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16、金融支出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17、援助其他地区支出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18、国土海洋气象等支出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19、住房保障支出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20、油物资储备支出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21、其他支出</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本年收入合计</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24,791.28</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本年支出合计</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26,949.21</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26,949.21</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年初财政拨款结转和结余</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2,997.13</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年末财政拨款结转和结余</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839.20</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839.20</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一般公共预算财政拨款</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2,997.13</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政府性基金预算财政拨款</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35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5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3400" w:type="dxa"/>
            <w:tcBorders>
              <w:top w:val="nil"/>
              <w:left w:val="single" w:color="000000" w:sz="4" w:space="0"/>
              <w:bottom w:val="single" w:color="000000" w:sz="8"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收入总计</w:t>
            </w:r>
          </w:p>
        </w:tc>
        <w:tc>
          <w:tcPr>
            <w:tcW w:w="130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27,788.41</w:t>
            </w:r>
          </w:p>
        </w:tc>
        <w:tc>
          <w:tcPr>
            <w:tcW w:w="3520" w:type="dxa"/>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eastAsia="宋体" w:cs="Arial"/>
                <w:b/>
                <w:bCs/>
                <w:color w:val="000000" w:themeColor="text1"/>
                <w:kern w:val="0"/>
                <w:sz w:val="22"/>
              </w:rPr>
            </w:pPr>
            <w:r>
              <w:rPr>
                <w:rFonts w:hint="eastAsia" w:ascii="宋体" w:hAnsi="宋体" w:eastAsia="宋体" w:cs="Arial"/>
                <w:b/>
                <w:bCs/>
                <w:color w:val="000000" w:themeColor="text1"/>
                <w:kern w:val="0"/>
                <w:sz w:val="22"/>
              </w:rPr>
              <w:t>支出总计</w:t>
            </w:r>
          </w:p>
        </w:tc>
        <w:tc>
          <w:tcPr>
            <w:tcW w:w="1576" w:type="dxa"/>
            <w:gridSpan w:val="2"/>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27,788.41</w:t>
            </w:r>
          </w:p>
        </w:tc>
        <w:tc>
          <w:tcPr>
            <w:tcW w:w="1843" w:type="dxa"/>
            <w:gridSpan w:val="2"/>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27,788.41</w:t>
            </w:r>
          </w:p>
        </w:tc>
        <w:tc>
          <w:tcPr>
            <w:tcW w:w="184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13482" w:type="dxa"/>
            <w:gridSpan w:val="8"/>
            <w:tcBorders>
              <w:top w:val="nil"/>
              <w:left w:val="nil"/>
              <w:bottom w:val="nil"/>
              <w:right w:val="nil"/>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注：本表反映部门本年度一般公共预算财政拨款和政府性基金预算财政拨款的总收支和年末结转结余情况。</w:t>
            </w:r>
          </w:p>
        </w:tc>
      </w:tr>
    </w:tbl>
    <w:p>
      <w:pPr>
        <w:widowControl/>
        <w:jc w:val="center"/>
        <w:rPr>
          <w:rFonts w:ascii="黑体" w:hAnsi="黑体" w:eastAsia="黑体"/>
          <w:b/>
          <w:color w:val="000000" w:themeColor="text1"/>
          <w:sz w:val="32"/>
          <w:szCs w:val="32"/>
        </w:rPr>
      </w:pPr>
    </w:p>
    <w:p>
      <w:pPr>
        <w:widowControl/>
        <w:jc w:val="center"/>
        <w:rPr>
          <w:rFonts w:ascii="黑体" w:hAnsi="黑体" w:eastAsia="黑体"/>
          <w:b/>
          <w:color w:val="000000" w:themeColor="text1"/>
          <w:sz w:val="32"/>
          <w:szCs w:val="32"/>
        </w:rPr>
      </w:pPr>
    </w:p>
    <w:p>
      <w:pPr>
        <w:widowControl/>
        <w:jc w:val="left"/>
        <w:rPr>
          <w:rFonts w:ascii="黑体" w:hAnsi="黑体" w:eastAsia="黑体"/>
          <w:b/>
          <w:color w:val="000000" w:themeColor="text1"/>
          <w:sz w:val="32"/>
          <w:szCs w:val="32"/>
        </w:rPr>
      </w:pPr>
      <w:r>
        <w:rPr>
          <w:rFonts w:ascii="黑体" w:hAnsi="黑体" w:eastAsia="黑体"/>
          <w:b/>
          <w:color w:val="000000" w:themeColor="text1"/>
          <w:sz w:val="32"/>
          <w:szCs w:val="32"/>
        </w:rPr>
        <w:br w:type="page"/>
      </w: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部门决算一般公共预算财政拨款支出明细表（按功能分类科目）</w:t>
      </w:r>
    </w:p>
    <w:tbl>
      <w:tblPr>
        <w:tblStyle w:val="5"/>
        <w:tblW w:w="13907" w:type="dxa"/>
        <w:tblInd w:w="93" w:type="dxa"/>
        <w:tblLayout w:type="autofit"/>
        <w:tblCellMar>
          <w:top w:w="0" w:type="dxa"/>
          <w:left w:w="108" w:type="dxa"/>
          <w:bottom w:w="0" w:type="dxa"/>
          <w:right w:w="108" w:type="dxa"/>
        </w:tblCellMar>
      </w:tblPr>
      <w:tblGrid>
        <w:gridCol w:w="340"/>
        <w:gridCol w:w="340"/>
        <w:gridCol w:w="340"/>
        <w:gridCol w:w="3106"/>
        <w:gridCol w:w="1701"/>
        <w:gridCol w:w="813"/>
        <w:gridCol w:w="746"/>
        <w:gridCol w:w="674"/>
        <w:gridCol w:w="886"/>
        <w:gridCol w:w="1701"/>
        <w:gridCol w:w="1701"/>
        <w:gridCol w:w="1559"/>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106"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70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813"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2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2587"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70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批复05表</w:t>
            </w:r>
          </w:p>
        </w:tc>
      </w:tr>
      <w:tr>
        <w:tblPrEx>
          <w:tblCellMar>
            <w:top w:w="0" w:type="dxa"/>
            <w:left w:w="108" w:type="dxa"/>
            <w:bottom w:w="0" w:type="dxa"/>
            <w:right w:w="108" w:type="dxa"/>
          </w:tblCellMar>
        </w:tblPrEx>
        <w:trPr>
          <w:trHeight w:val="255" w:hRule="atLeast"/>
        </w:trPr>
        <w:tc>
          <w:tcPr>
            <w:tcW w:w="4126"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70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813"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20"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2587"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701"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4126"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170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本年支出合计</w:t>
            </w:r>
          </w:p>
        </w:tc>
        <w:tc>
          <w:tcPr>
            <w:tcW w:w="482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基本支出</w:t>
            </w:r>
          </w:p>
        </w:tc>
        <w:tc>
          <w:tcPr>
            <w:tcW w:w="170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项目支出</w:t>
            </w:r>
          </w:p>
        </w:tc>
        <w:tc>
          <w:tcPr>
            <w:tcW w:w="1559"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备注</w:t>
            </w:r>
          </w:p>
        </w:tc>
      </w:tr>
      <w:tr>
        <w:tblPrEx>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功能分类科目编码</w:t>
            </w:r>
          </w:p>
        </w:tc>
        <w:tc>
          <w:tcPr>
            <w:tcW w:w="310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科目名称</w:t>
            </w: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小计</w:t>
            </w:r>
          </w:p>
        </w:tc>
        <w:tc>
          <w:tcPr>
            <w:tcW w:w="156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人员经费</w:t>
            </w:r>
          </w:p>
        </w:tc>
        <w:tc>
          <w:tcPr>
            <w:tcW w:w="170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公用经费</w:t>
            </w: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285"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310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615"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310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4126"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26,949.21</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9,418.54</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8,545.53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873.01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17,530.66</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教育支出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25,206.68</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8,382.01</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7,510.17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871.84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16,824.66</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20502</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普通教育</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25,156.68</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8,332.01</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7,460.17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871.84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16,824.66</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2050205</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高等教育</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25,156.68</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8,332.01</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7,460.17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871.84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16,824.66</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20599</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其他教育支出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2059999</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其他教育支出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社会保障和就业支出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364.08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20805</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行政事业单位离退休</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364.08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2080502</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事业单位离退休</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365.25</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364.08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医疗卫生与计划生育支出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1,055.01</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公立医院</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706.00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2100201</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综合医院</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2100299</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其他公立医院支出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356.00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356.00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21011</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行政事业单位医疗</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2101102</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事业单位医疗</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349.01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住房保障支出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22102</w:t>
            </w:r>
          </w:p>
        </w:tc>
        <w:tc>
          <w:tcPr>
            <w:tcW w:w="310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住房改革支出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2210201</w:t>
            </w:r>
          </w:p>
        </w:tc>
        <w:tc>
          <w:tcPr>
            <w:tcW w:w="3106"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住房公积金</w:t>
            </w:r>
          </w:p>
        </w:tc>
        <w:tc>
          <w:tcPr>
            <w:tcW w:w="1701"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59" w:type="dxa"/>
            <w:gridSpan w:val="2"/>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560" w:type="dxa"/>
            <w:gridSpan w:val="2"/>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701"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701"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559"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3907" w:type="dxa"/>
            <w:gridSpan w:val="12"/>
            <w:tcBorders>
              <w:top w:val="nil"/>
              <w:left w:val="nil"/>
              <w:bottom w:val="nil"/>
              <w:right w:val="nil"/>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注：本表反映部门本年度一般公共预算财政拨款实际支出情况。</w:t>
            </w:r>
          </w:p>
        </w:tc>
      </w:tr>
    </w:tbl>
    <w:p>
      <w:pPr>
        <w:widowControl/>
        <w:rPr>
          <w:rFonts w:ascii="黑体" w:hAnsi="黑体" w:eastAsia="黑体"/>
          <w:b/>
          <w:color w:val="000000" w:themeColor="text1"/>
          <w:sz w:val="32"/>
          <w:szCs w:val="32"/>
        </w:rPr>
      </w:pPr>
    </w:p>
    <w:p>
      <w:pPr>
        <w:widowControl/>
        <w:rPr>
          <w:rFonts w:ascii="黑体" w:hAnsi="黑体" w:eastAsia="黑体"/>
          <w:b/>
          <w:color w:val="000000" w:themeColor="text1"/>
          <w:sz w:val="32"/>
          <w:szCs w:val="32"/>
        </w:rPr>
        <w:sectPr>
          <w:footerReference r:id="rId4" w:type="default"/>
          <w:pgSz w:w="16838" w:h="11906" w:orient="landscape"/>
          <w:pgMar w:top="1077" w:right="1440" w:bottom="1077" w:left="1440" w:header="851" w:footer="567" w:gutter="0"/>
          <w:pgNumType w:start="1"/>
          <w:cols w:space="425" w:num="1"/>
          <w:docGrid w:linePitch="312" w:charSpace="0"/>
        </w:sectPr>
      </w:pP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部门决算一般公共预算财政拨款基本支出表（按经济分类科目）</w:t>
      </w:r>
    </w:p>
    <w:p>
      <w:pPr>
        <w:widowControl/>
        <w:jc w:val="center"/>
        <w:rPr>
          <w:rFonts w:ascii="黑体" w:hAnsi="黑体" w:eastAsia="黑体"/>
          <w:b/>
          <w:color w:val="000000" w:themeColor="text1"/>
          <w:sz w:val="32"/>
          <w:szCs w:val="32"/>
        </w:rPr>
      </w:pPr>
    </w:p>
    <w:tbl>
      <w:tblPr>
        <w:tblStyle w:val="5"/>
        <w:tblW w:w="10065" w:type="dxa"/>
        <w:tblInd w:w="-34" w:type="dxa"/>
        <w:tblLayout w:type="autofit"/>
        <w:tblCellMar>
          <w:top w:w="0" w:type="dxa"/>
          <w:left w:w="108" w:type="dxa"/>
          <w:bottom w:w="0" w:type="dxa"/>
          <w:right w:w="108" w:type="dxa"/>
        </w:tblCellMar>
      </w:tblPr>
      <w:tblGrid>
        <w:gridCol w:w="467"/>
        <w:gridCol w:w="340"/>
        <w:gridCol w:w="340"/>
        <w:gridCol w:w="3248"/>
        <w:gridCol w:w="1559"/>
        <w:gridCol w:w="1418"/>
        <w:gridCol w:w="1417"/>
        <w:gridCol w:w="1276"/>
      </w:tblGrid>
      <w:tr>
        <w:tblPrEx>
          <w:tblCellMar>
            <w:top w:w="0" w:type="dxa"/>
            <w:left w:w="108" w:type="dxa"/>
            <w:bottom w:w="0" w:type="dxa"/>
            <w:right w:w="108" w:type="dxa"/>
          </w:tblCellMar>
        </w:tblPrEx>
        <w:trPr>
          <w:trHeight w:val="255" w:hRule="atLeast"/>
        </w:trPr>
        <w:tc>
          <w:tcPr>
            <w:tcW w:w="467"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248"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18"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17"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276"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批复06表</w:t>
            </w:r>
          </w:p>
        </w:tc>
      </w:tr>
      <w:tr>
        <w:tblPrEx>
          <w:tblCellMar>
            <w:top w:w="0" w:type="dxa"/>
            <w:left w:w="108" w:type="dxa"/>
            <w:bottom w:w="0" w:type="dxa"/>
            <w:right w:w="108" w:type="dxa"/>
          </w:tblCellMar>
        </w:tblPrEx>
        <w:trPr>
          <w:trHeight w:val="255" w:hRule="atLeast"/>
        </w:trPr>
        <w:tc>
          <w:tcPr>
            <w:tcW w:w="4395"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418"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1417"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276"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4395"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本年支出合计</w:t>
            </w:r>
          </w:p>
        </w:tc>
        <w:tc>
          <w:tcPr>
            <w:tcW w:w="141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人员经费</w:t>
            </w:r>
          </w:p>
        </w:tc>
        <w:tc>
          <w:tcPr>
            <w:tcW w:w="141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公用经费</w:t>
            </w:r>
          </w:p>
        </w:tc>
        <w:tc>
          <w:tcPr>
            <w:tcW w:w="1276"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备注</w:t>
            </w:r>
          </w:p>
        </w:tc>
      </w:tr>
      <w:tr>
        <w:tblPrEx>
          <w:tblCellMar>
            <w:top w:w="0" w:type="dxa"/>
            <w:left w:w="108" w:type="dxa"/>
            <w:bottom w:w="0" w:type="dxa"/>
            <w:right w:w="108" w:type="dxa"/>
          </w:tblCellMar>
        </w:tblPrEx>
        <w:trPr>
          <w:trHeight w:val="308" w:hRule="atLeast"/>
        </w:trPr>
        <w:tc>
          <w:tcPr>
            <w:tcW w:w="114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经济分类科目编码</w:t>
            </w:r>
          </w:p>
        </w:tc>
        <w:tc>
          <w:tcPr>
            <w:tcW w:w="324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科目名称</w:t>
            </w: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1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276"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285" w:hRule="atLeast"/>
        </w:trPr>
        <w:tc>
          <w:tcPr>
            <w:tcW w:w="114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324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1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276"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615" w:hRule="atLeast"/>
        </w:trPr>
        <w:tc>
          <w:tcPr>
            <w:tcW w:w="114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324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41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276"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4395"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9,418.54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8,545.53</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873.01</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工资福利支出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6,025.89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6,025.89</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30101</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基本工资</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1,489.98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1,489.98</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30107</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绩效工资</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1,196.76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1,196.76</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30108</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机关事业单位基本养老保险缴费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1,718.86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1,718.86</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30110</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城镇职工基本医疗保险缴费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850.75</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850.75</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30113</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住房公积金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322.28</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30199</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其他工资福利支出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447.26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447.26</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商品和服务支出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873.01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873.01</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30201</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办公费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89.83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89.83</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30202</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印刷费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30205</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水费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175.00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175.00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30206</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电费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150.00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150.00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30207</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邮电费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22.00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30208</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取暖费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124.50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124.50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30209</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物业管理费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28.20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28.20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30211</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差旅费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43.30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43.30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30213</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维修（护）费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35.00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30217</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公务接待费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30231</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公务用车运行维护费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30299</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其他商品和服务支出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110.18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110.18</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对个人和家庭的补助</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2,519.64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2,519.65</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30301</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离休费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96.07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96.07</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30304</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抚恤金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58.00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58.00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30305</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生活补助</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431.71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431.71</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30307</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医疗费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10.00</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30308</w:t>
            </w:r>
          </w:p>
        </w:tc>
        <w:tc>
          <w:tcPr>
            <w:tcW w:w="32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助学金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1,873.86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1,873.86</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30309</w:t>
            </w:r>
          </w:p>
        </w:tc>
        <w:tc>
          <w:tcPr>
            <w:tcW w:w="3248"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  奖励金</w:t>
            </w:r>
          </w:p>
        </w:tc>
        <w:tc>
          <w:tcPr>
            <w:tcW w:w="155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418"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50.00</w:t>
            </w:r>
          </w:p>
        </w:tc>
        <w:tc>
          <w:tcPr>
            <w:tcW w:w="1417"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76"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540" w:hRule="atLeast"/>
        </w:trPr>
        <w:tc>
          <w:tcPr>
            <w:tcW w:w="10065" w:type="dxa"/>
            <w:gridSpan w:val="8"/>
            <w:tcBorders>
              <w:top w:val="nil"/>
              <w:left w:val="nil"/>
              <w:bottom w:val="nil"/>
              <w:right w:val="nil"/>
            </w:tcBorders>
            <w:shd w:val="clear" w:color="auto" w:fill="auto"/>
            <w:vAlign w:val="center"/>
          </w:tcPr>
          <w:p>
            <w:pPr>
              <w:widowControl/>
              <w:spacing w:after="240"/>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xml:space="preserve">注：本表反映部门本年度一般公共预算财政拨款基本支出明细情况。 </w:t>
            </w:r>
          </w:p>
        </w:tc>
      </w:tr>
    </w:tbl>
    <w:p>
      <w:pPr>
        <w:widowControl/>
        <w:jc w:val="left"/>
        <w:rPr>
          <w:rFonts w:ascii="黑体" w:hAnsi="黑体" w:eastAsia="黑体"/>
          <w:b/>
          <w:color w:val="000000" w:themeColor="text1"/>
          <w:sz w:val="32"/>
          <w:szCs w:val="32"/>
        </w:rPr>
        <w:sectPr>
          <w:pgSz w:w="11906" w:h="16838"/>
          <w:pgMar w:top="1440" w:right="1077" w:bottom="1440" w:left="1077" w:header="851" w:footer="992" w:gutter="0"/>
          <w:cols w:space="425" w:num="1"/>
          <w:docGrid w:linePitch="312" w:charSpace="0"/>
        </w:sectPr>
      </w:pP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部门决算一般公共预算财政拨款“三公”经费及会议费、培训费支出表</w:t>
      </w:r>
    </w:p>
    <w:tbl>
      <w:tblPr>
        <w:tblStyle w:val="5"/>
        <w:tblW w:w="9640" w:type="dxa"/>
        <w:tblInd w:w="93" w:type="dxa"/>
        <w:tblLayout w:type="autofit"/>
        <w:tblCellMar>
          <w:top w:w="0" w:type="dxa"/>
          <w:left w:w="108" w:type="dxa"/>
          <w:bottom w:w="0" w:type="dxa"/>
          <w:right w:w="108" w:type="dxa"/>
        </w:tblCellMar>
      </w:tblPr>
      <w:tblGrid>
        <w:gridCol w:w="1800"/>
        <w:gridCol w:w="780"/>
        <w:gridCol w:w="1060"/>
        <w:gridCol w:w="900"/>
        <w:gridCol w:w="900"/>
        <w:gridCol w:w="1160"/>
        <w:gridCol w:w="1240"/>
        <w:gridCol w:w="860"/>
        <w:gridCol w:w="940"/>
      </w:tblGrid>
      <w:tr>
        <w:tblPrEx>
          <w:tblCellMar>
            <w:top w:w="0" w:type="dxa"/>
            <w:left w:w="108" w:type="dxa"/>
            <w:bottom w:w="0" w:type="dxa"/>
            <w:right w:w="108" w:type="dxa"/>
          </w:tblCellMar>
        </w:tblPrEx>
        <w:trPr>
          <w:trHeight w:val="255" w:hRule="atLeast"/>
        </w:trPr>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9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9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80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批复07表</w:t>
            </w:r>
          </w:p>
        </w:tc>
      </w:tr>
      <w:tr>
        <w:tblPrEx>
          <w:tblCellMar>
            <w:top w:w="0" w:type="dxa"/>
            <w:left w:w="108" w:type="dxa"/>
            <w:bottom w:w="0" w:type="dxa"/>
            <w:right w:w="108" w:type="dxa"/>
          </w:tblCellMar>
        </w:tblPrEx>
        <w:trPr>
          <w:trHeight w:val="255" w:hRule="atLeast"/>
        </w:trPr>
        <w:tc>
          <w:tcPr>
            <w:tcW w:w="2580"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9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90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116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800"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555" w:hRule="atLeast"/>
        </w:trPr>
        <w:tc>
          <w:tcPr>
            <w:tcW w:w="180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6040"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一般公共预算财政拨款安排的“三公”经费</w:t>
            </w:r>
          </w:p>
        </w:tc>
        <w:tc>
          <w:tcPr>
            <w:tcW w:w="8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会议费</w:t>
            </w:r>
          </w:p>
        </w:tc>
        <w:tc>
          <w:tcPr>
            <w:tcW w:w="940" w:type="dxa"/>
            <w:vMerge w:val="restart"/>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培训费</w:t>
            </w:r>
          </w:p>
        </w:tc>
      </w:tr>
      <w:tr>
        <w:tblPrEx>
          <w:tblCellMar>
            <w:top w:w="0" w:type="dxa"/>
            <w:left w:w="108" w:type="dxa"/>
            <w:bottom w:w="0" w:type="dxa"/>
            <w:right w:w="108" w:type="dxa"/>
          </w:tblCellMar>
        </w:tblPrEx>
        <w:trPr>
          <w:trHeight w:val="477" w:hRule="atLeast"/>
        </w:trPr>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7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小计</w:t>
            </w:r>
          </w:p>
        </w:tc>
        <w:tc>
          <w:tcPr>
            <w:tcW w:w="10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因公出国（境）费用</w:t>
            </w:r>
          </w:p>
        </w:tc>
        <w:tc>
          <w:tcPr>
            <w:tcW w:w="9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公务接待费</w:t>
            </w:r>
          </w:p>
        </w:tc>
        <w:tc>
          <w:tcPr>
            <w:tcW w:w="330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公务用车购置及运行维护费</w:t>
            </w:r>
          </w:p>
        </w:tc>
        <w:tc>
          <w:tcPr>
            <w:tcW w:w="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724" w:hRule="atLeast"/>
        </w:trPr>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7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9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小计</w:t>
            </w:r>
          </w:p>
        </w:tc>
        <w:tc>
          <w:tcPr>
            <w:tcW w:w="11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公务用车购置费</w:t>
            </w:r>
          </w:p>
        </w:tc>
        <w:tc>
          <w:tcPr>
            <w:tcW w:w="12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公务用车运行维护费</w:t>
            </w:r>
          </w:p>
        </w:tc>
        <w:tc>
          <w:tcPr>
            <w:tcW w:w="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23" w:hRule="atLeast"/>
        </w:trPr>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7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w:t>
            </w:r>
          </w:p>
        </w:tc>
        <w:tc>
          <w:tcPr>
            <w:tcW w:w="10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w:t>
            </w: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w:t>
            </w: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w:t>
            </w:r>
          </w:p>
        </w:tc>
        <w:tc>
          <w:tcPr>
            <w:tcW w:w="11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w:t>
            </w:r>
          </w:p>
        </w:tc>
        <w:tc>
          <w:tcPr>
            <w:tcW w:w="12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6</w:t>
            </w:r>
          </w:p>
        </w:tc>
        <w:tc>
          <w:tcPr>
            <w:tcW w:w="8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w:t>
            </w:r>
          </w:p>
        </w:tc>
        <w:tc>
          <w:tcPr>
            <w:tcW w:w="940"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w:t>
            </w:r>
          </w:p>
        </w:tc>
      </w:tr>
      <w:tr>
        <w:tblPrEx>
          <w:tblCellMar>
            <w:top w:w="0" w:type="dxa"/>
            <w:left w:w="108" w:type="dxa"/>
            <w:bottom w:w="0" w:type="dxa"/>
            <w:right w:w="108" w:type="dxa"/>
          </w:tblCellMar>
        </w:tblPrEx>
        <w:trPr>
          <w:trHeight w:val="368" w:hRule="atLeast"/>
        </w:trPr>
        <w:tc>
          <w:tcPr>
            <w:tcW w:w="18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本年数</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75.00</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30.00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40.00</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40.00</w:t>
            </w:r>
          </w:p>
        </w:tc>
        <w:tc>
          <w:tcPr>
            <w:tcW w:w="8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68" w:hRule="atLeast"/>
        </w:trPr>
        <w:tc>
          <w:tcPr>
            <w:tcW w:w="18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上年数</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80.20</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5.00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28.20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47.00</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47.00</w:t>
            </w:r>
          </w:p>
        </w:tc>
        <w:tc>
          <w:tcPr>
            <w:tcW w:w="8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68" w:hRule="atLeast"/>
        </w:trPr>
        <w:tc>
          <w:tcPr>
            <w:tcW w:w="18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增减额</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-5.20</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1.80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-7.00</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-7.00</w:t>
            </w:r>
          </w:p>
        </w:tc>
        <w:tc>
          <w:tcPr>
            <w:tcW w:w="8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68" w:hRule="atLeast"/>
        </w:trPr>
        <w:tc>
          <w:tcPr>
            <w:tcW w:w="1800" w:type="dxa"/>
            <w:tcBorders>
              <w:top w:val="nil"/>
              <w:left w:val="single" w:color="000000" w:sz="4" w:space="0"/>
              <w:bottom w:val="single" w:color="000000" w:sz="8" w:space="0"/>
              <w:right w:val="single" w:color="000000" w:sz="4" w:space="0"/>
            </w:tcBorders>
            <w:shd w:val="clear" w:color="FFFFFF" w:fill="C0C0C0"/>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增减率（%）</w:t>
            </w:r>
          </w:p>
        </w:tc>
        <w:tc>
          <w:tcPr>
            <w:tcW w:w="78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-6.48</w:t>
            </w:r>
          </w:p>
        </w:tc>
        <w:tc>
          <w:tcPr>
            <w:tcW w:w="106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90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6.38</w:t>
            </w:r>
          </w:p>
        </w:tc>
        <w:tc>
          <w:tcPr>
            <w:tcW w:w="90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-14.89</w:t>
            </w:r>
          </w:p>
        </w:tc>
        <w:tc>
          <w:tcPr>
            <w:tcW w:w="116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124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-14.89</w:t>
            </w:r>
          </w:p>
        </w:tc>
        <w:tc>
          <w:tcPr>
            <w:tcW w:w="86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c>
          <w:tcPr>
            <w:tcW w:w="940"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0.00</w:t>
            </w:r>
          </w:p>
        </w:tc>
      </w:tr>
      <w:tr>
        <w:tblPrEx>
          <w:tblCellMar>
            <w:top w:w="0" w:type="dxa"/>
            <w:left w:w="108" w:type="dxa"/>
            <w:bottom w:w="0" w:type="dxa"/>
            <w:right w:w="108" w:type="dxa"/>
          </w:tblCellMar>
        </w:tblPrEx>
        <w:trPr>
          <w:trHeight w:val="308" w:hRule="atLeast"/>
        </w:trPr>
        <w:tc>
          <w:tcPr>
            <w:tcW w:w="9640" w:type="dxa"/>
            <w:gridSpan w:val="9"/>
            <w:tcBorders>
              <w:top w:val="nil"/>
              <w:left w:val="nil"/>
              <w:bottom w:val="nil"/>
              <w:right w:val="nil"/>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注：本表反映部门本年度一般公共预算财政拨款“三公”经费、会议费、培训费的实际支出。</w:t>
            </w:r>
          </w:p>
        </w:tc>
      </w:tr>
    </w:tbl>
    <w:p>
      <w:pPr>
        <w:widowControl/>
        <w:jc w:val="center"/>
        <w:rPr>
          <w:rFonts w:ascii="黑体" w:hAnsi="黑体" w:eastAsia="黑体"/>
          <w:b/>
          <w:color w:val="000000" w:themeColor="text1"/>
          <w:sz w:val="32"/>
          <w:szCs w:val="32"/>
        </w:rPr>
      </w:pPr>
    </w:p>
    <w:p>
      <w:pPr>
        <w:widowControl/>
        <w:jc w:val="left"/>
        <w:rPr>
          <w:rFonts w:ascii="黑体" w:hAnsi="黑体" w:eastAsia="黑体"/>
          <w:b/>
          <w:color w:val="000000" w:themeColor="text1"/>
          <w:sz w:val="32"/>
          <w:szCs w:val="32"/>
        </w:rPr>
      </w:pPr>
      <w:r>
        <w:rPr>
          <w:rFonts w:ascii="黑体" w:hAnsi="黑体" w:eastAsia="黑体"/>
          <w:b/>
          <w:color w:val="000000" w:themeColor="text1"/>
          <w:sz w:val="32"/>
          <w:szCs w:val="32"/>
        </w:rPr>
        <w:br w:type="page"/>
      </w:r>
    </w:p>
    <w:p>
      <w:pPr>
        <w:widowControl/>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部门决算政府性基金收支表</w:t>
      </w:r>
    </w:p>
    <w:tbl>
      <w:tblPr>
        <w:tblStyle w:val="5"/>
        <w:tblW w:w="10247" w:type="dxa"/>
        <w:tblInd w:w="-34" w:type="dxa"/>
        <w:tblLayout w:type="autofit"/>
        <w:tblCellMar>
          <w:top w:w="0" w:type="dxa"/>
          <w:left w:w="108" w:type="dxa"/>
          <w:bottom w:w="0" w:type="dxa"/>
          <w:right w:w="108" w:type="dxa"/>
        </w:tblCellMar>
      </w:tblPr>
      <w:tblGrid>
        <w:gridCol w:w="467"/>
        <w:gridCol w:w="340"/>
        <w:gridCol w:w="340"/>
        <w:gridCol w:w="1080"/>
        <w:gridCol w:w="1700"/>
        <w:gridCol w:w="1680"/>
        <w:gridCol w:w="640"/>
        <w:gridCol w:w="1080"/>
        <w:gridCol w:w="1080"/>
        <w:gridCol w:w="1840"/>
      </w:tblGrid>
      <w:tr>
        <w:tblPrEx>
          <w:tblCellMar>
            <w:top w:w="0" w:type="dxa"/>
            <w:left w:w="108" w:type="dxa"/>
            <w:bottom w:w="0" w:type="dxa"/>
            <w:right w:w="108" w:type="dxa"/>
          </w:tblCellMar>
        </w:tblPrEx>
        <w:trPr>
          <w:trHeight w:val="255" w:hRule="atLeast"/>
        </w:trPr>
        <w:tc>
          <w:tcPr>
            <w:tcW w:w="467"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7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8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批复08表</w:t>
            </w:r>
          </w:p>
        </w:tc>
      </w:tr>
      <w:tr>
        <w:tblPrEx>
          <w:tblCellMar>
            <w:top w:w="0" w:type="dxa"/>
            <w:left w:w="108" w:type="dxa"/>
            <w:bottom w:w="0" w:type="dxa"/>
            <w:right w:w="108" w:type="dxa"/>
          </w:tblCellMar>
        </w:tblPrEx>
        <w:trPr>
          <w:trHeight w:val="255" w:hRule="atLeast"/>
        </w:trPr>
        <w:tc>
          <w:tcPr>
            <w:tcW w:w="2227" w:type="dxa"/>
            <w:gridSpan w:val="4"/>
            <w:tcBorders>
              <w:top w:val="nil"/>
              <w:left w:val="nil"/>
              <w:bottom w:val="single" w:color="000000" w:sz="4" w:space="0"/>
              <w:right w:val="nil"/>
            </w:tcBorders>
            <w:shd w:val="clear" w:color="auto" w:fill="auto"/>
            <w:noWrap/>
            <w:vAlign w:val="bottom"/>
          </w:tcPr>
          <w:p>
            <w:pPr>
              <w:widowControl/>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编制单位：西安医学院</w:t>
            </w:r>
          </w:p>
        </w:tc>
        <w:tc>
          <w:tcPr>
            <w:tcW w:w="170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68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2018年</w:t>
            </w: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themeColor="text1"/>
                <w:kern w:val="0"/>
                <w:sz w:val="20"/>
                <w:szCs w:val="20"/>
              </w:rPr>
            </w:pPr>
          </w:p>
        </w:tc>
        <w:tc>
          <w:tcPr>
            <w:tcW w:w="18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themeColor="text1"/>
                <w:kern w:val="0"/>
                <w:sz w:val="20"/>
                <w:szCs w:val="20"/>
              </w:rPr>
            </w:pPr>
            <w:r>
              <w:rPr>
                <w:rFonts w:hint="eastAsia" w:ascii="宋体" w:hAnsi="宋体" w:eastAsia="宋体" w:cs="Arial"/>
                <w:color w:val="000000" w:themeColor="text1"/>
                <w:kern w:val="0"/>
                <w:sz w:val="20"/>
                <w:szCs w:val="20"/>
              </w:rPr>
              <w:t>单位：万元</w:t>
            </w:r>
          </w:p>
        </w:tc>
      </w:tr>
      <w:tr>
        <w:tblPrEx>
          <w:tblCellMar>
            <w:top w:w="0" w:type="dxa"/>
            <w:left w:w="108" w:type="dxa"/>
            <w:bottom w:w="0" w:type="dxa"/>
            <w:right w:w="108" w:type="dxa"/>
          </w:tblCellMar>
        </w:tblPrEx>
        <w:trPr>
          <w:trHeight w:val="308" w:hRule="atLeast"/>
        </w:trPr>
        <w:tc>
          <w:tcPr>
            <w:tcW w:w="2227"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w:t>
            </w:r>
          </w:p>
        </w:tc>
        <w:tc>
          <w:tcPr>
            <w:tcW w:w="17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本年收入</w:t>
            </w:r>
          </w:p>
        </w:tc>
        <w:tc>
          <w:tcPr>
            <w:tcW w:w="280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本年支出</w:t>
            </w:r>
          </w:p>
        </w:tc>
        <w:tc>
          <w:tcPr>
            <w:tcW w:w="1840"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年末结转和结余</w:t>
            </w:r>
          </w:p>
        </w:tc>
      </w:tr>
      <w:tr>
        <w:tblPrEx>
          <w:tblCellMar>
            <w:top w:w="0" w:type="dxa"/>
            <w:left w:w="108" w:type="dxa"/>
            <w:bottom w:w="0" w:type="dxa"/>
            <w:right w:w="108" w:type="dxa"/>
          </w:tblCellMar>
        </w:tblPrEx>
        <w:trPr>
          <w:trHeight w:val="308" w:hRule="atLeast"/>
        </w:trPr>
        <w:tc>
          <w:tcPr>
            <w:tcW w:w="114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功能分类科目编码</w:t>
            </w:r>
          </w:p>
        </w:tc>
        <w:tc>
          <w:tcPr>
            <w:tcW w:w="10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科目名称</w:t>
            </w:r>
          </w:p>
        </w:tc>
        <w:tc>
          <w:tcPr>
            <w:tcW w:w="1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64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小计</w:t>
            </w:r>
          </w:p>
        </w:tc>
        <w:tc>
          <w:tcPr>
            <w:tcW w:w="10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基本支出</w:t>
            </w:r>
          </w:p>
        </w:tc>
        <w:tc>
          <w:tcPr>
            <w:tcW w:w="10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项目支出</w:t>
            </w:r>
          </w:p>
        </w:tc>
        <w:tc>
          <w:tcPr>
            <w:tcW w:w="1840"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114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840"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615" w:hRule="atLeast"/>
        </w:trPr>
        <w:tc>
          <w:tcPr>
            <w:tcW w:w="114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themeColor="text1"/>
                <w:kern w:val="0"/>
                <w:sz w:val="22"/>
              </w:rPr>
            </w:pPr>
          </w:p>
        </w:tc>
        <w:tc>
          <w:tcPr>
            <w:tcW w:w="1840"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308" w:hRule="atLeast"/>
        </w:trPr>
        <w:tc>
          <w:tcPr>
            <w:tcW w:w="2227"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合计</w:t>
            </w:r>
          </w:p>
        </w:tc>
        <w:tc>
          <w:tcPr>
            <w:tcW w:w="1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147" w:type="dxa"/>
            <w:gridSpan w:val="3"/>
            <w:tcBorders>
              <w:top w:val="nil"/>
              <w:left w:val="single" w:color="000000" w:sz="4"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70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68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64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08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c>
          <w:tcPr>
            <w:tcW w:w="1840"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　</w:t>
            </w:r>
          </w:p>
        </w:tc>
      </w:tr>
      <w:tr>
        <w:tblPrEx>
          <w:tblCellMar>
            <w:top w:w="0" w:type="dxa"/>
            <w:left w:w="108" w:type="dxa"/>
            <w:bottom w:w="0" w:type="dxa"/>
            <w:right w:w="108" w:type="dxa"/>
          </w:tblCellMar>
        </w:tblPrEx>
        <w:trPr>
          <w:trHeight w:val="308" w:hRule="atLeast"/>
        </w:trPr>
        <w:tc>
          <w:tcPr>
            <w:tcW w:w="10247" w:type="dxa"/>
            <w:gridSpan w:val="10"/>
            <w:tcBorders>
              <w:top w:val="nil"/>
              <w:left w:val="nil"/>
              <w:bottom w:val="nil"/>
              <w:right w:val="nil"/>
            </w:tcBorders>
            <w:shd w:val="clear" w:color="auto" w:fill="auto"/>
            <w:noWrap/>
            <w:vAlign w:val="center"/>
          </w:tcPr>
          <w:p>
            <w:pPr>
              <w:widowControl/>
              <w:jc w:val="left"/>
              <w:rPr>
                <w:rFonts w:ascii="宋体" w:hAnsi="宋体" w:eastAsia="宋体" w:cs="Arial"/>
                <w:color w:val="000000" w:themeColor="text1"/>
                <w:kern w:val="0"/>
                <w:sz w:val="22"/>
              </w:rPr>
            </w:pPr>
            <w:r>
              <w:rPr>
                <w:rFonts w:hint="eastAsia" w:ascii="宋体" w:hAnsi="宋体" w:eastAsia="宋体" w:cs="Arial"/>
                <w:color w:val="000000" w:themeColor="text1"/>
                <w:kern w:val="0"/>
                <w:sz w:val="22"/>
              </w:rPr>
              <w:t>注：本表反映部门本年度政府性基金预算财政拨款收入支出及结转和结余情况。</w:t>
            </w:r>
          </w:p>
        </w:tc>
      </w:tr>
    </w:tbl>
    <w:p>
      <w:pPr>
        <w:widowControl/>
        <w:jc w:val="center"/>
        <w:rPr>
          <w:rFonts w:ascii="黑体" w:hAnsi="黑体" w:eastAsia="黑体"/>
          <w:b/>
          <w:color w:val="000000" w:themeColor="text1"/>
          <w:sz w:val="32"/>
          <w:szCs w:val="32"/>
        </w:rPr>
      </w:pPr>
      <w:r>
        <w:rPr>
          <w:rFonts w:ascii="黑体" w:hAnsi="黑体" w:eastAsia="黑体"/>
          <w:b/>
          <w:color w:val="000000" w:themeColor="text1"/>
          <w:sz w:val="32"/>
          <w:szCs w:val="32"/>
        </w:rPr>
        <w:br w:type="page"/>
      </w:r>
    </w:p>
    <w:p>
      <w:pPr>
        <w:jc w:val="center"/>
        <w:rPr>
          <w:rFonts w:ascii="黑体" w:hAnsi="黑体" w:eastAsia="黑体"/>
          <w:b/>
          <w:color w:val="000000" w:themeColor="text1"/>
          <w:sz w:val="32"/>
          <w:szCs w:val="32"/>
        </w:rPr>
        <w:sectPr>
          <w:pgSz w:w="11906" w:h="16838"/>
          <w:pgMar w:top="1440" w:right="1077" w:bottom="1440" w:left="1077" w:header="851" w:footer="992" w:gutter="0"/>
          <w:cols w:space="425" w:num="1"/>
          <w:docGrid w:linePitch="312" w:charSpace="0"/>
        </w:sectPr>
      </w:pPr>
    </w:p>
    <w:p>
      <w:pPr>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西安医学院2018年度部门决算说明</w:t>
      </w:r>
    </w:p>
    <w:p>
      <w:pPr>
        <w:ind w:firstLine="562" w:firstLineChars="200"/>
        <w:outlineLvl w:val="0"/>
        <w:rPr>
          <w:rFonts w:ascii="黑体" w:hAnsi="黑体" w:eastAsia="黑体"/>
          <w:b/>
          <w:color w:val="000000" w:themeColor="text1"/>
          <w:sz w:val="28"/>
          <w:szCs w:val="28"/>
        </w:rPr>
      </w:pPr>
      <w:r>
        <w:rPr>
          <w:rFonts w:hint="eastAsia" w:ascii="黑体" w:hAnsi="黑体" w:eastAsia="黑体"/>
          <w:b/>
          <w:color w:val="000000" w:themeColor="text1"/>
          <w:sz w:val="28"/>
          <w:szCs w:val="28"/>
        </w:rPr>
        <w:t>一、单位主要职责</w:t>
      </w:r>
    </w:p>
    <w:p>
      <w:pPr>
        <w:ind w:firstLine="562" w:firstLineChars="200"/>
        <w:outlineLvl w:val="1"/>
        <w:rPr>
          <w:b/>
          <w:color w:val="000000" w:themeColor="text1"/>
          <w:sz w:val="28"/>
          <w:szCs w:val="28"/>
        </w:rPr>
      </w:pPr>
      <w:r>
        <w:rPr>
          <w:rFonts w:hint="eastAsia"/>
          <w:b/>
          <w:color w:val="000000" w:themeColor="text1"/>
          <w:sz w:val="28"/>
          <w:szCs w:val="28"/>
        </w:rPr>
        <w:t>（一）主要职能</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西安医学院是陕西省人民政府举办的一所全日制普通本科院校，其前身是创建于1951年的陕西省卫生学校。1959年省政府设陕西省卫生干部学院建制。1994年国家教委批准成立陕西医学高等专科学校。2006年2月经教育部批准，升格为本科院校，更名为西安医学院。</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由含光校区、未央校区、高新校区组成，学校总占地面积76万㎡，总建筑面积99.3万㎡。学校建成了较为完善的实践教学基地，现有第一附属医院、第二附属医院、附属宝鸡医院、附属汉江医院、附属陕西省人民医院5所直属附属医院，总床位近6000张，另有非直属附属医院16所，实习基地95所。第一、二附属医院、附属陕西省人民医院均为大型综合性三级甲等医院，第一附属医院和附属陕西省人民医院是国家全科医生培训基地，第二附属医院是陕西省保健协会健康教育基地和西安市高校毕业生就业见习基地。</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师资由校本部基础教师和医院临床教师两部分组成，共有823名。其中正高职称教师185名（22.48%），副高职称教师307名（37.3%），博、硕士学位教师631名（76.67%），另有国家“百千万人才工程”人选1名，享受国务院政府津贴人才2名，享受“三秦人才津贴”8名；有“陕西三五人才工程”“特支计划”</w:t>
      </w:r>
      <w:r>
        <w:rPr>
          <w:rFonts w:hint="eastAsia" w:asciiTheme="minorEastAsia" w:hAnsiTheme="minorEastAsia"/>
          <w:color w:val="000000" w:themeColor="text1"/>
          <w:sz w:val="28"/>
          <w:szCs w:val="28"/>
          <w:lang w:eastAsia="zh-CN"/>
        </w:rPr>
        <w:t>等</w:t>
      </w:r>
      <w:r>
        <w:rPr>
          <w:rFonts w:hint="eastAsia" w:asciiTheme="minorEastAsia" w:hAnsiTheme="minorEastAsia"/>
          <w:color w:val="000000" w:themeColor="text1"/>
          <w:sz w:val="28"/>
          <w:szCs w:val="28"/>
        </w:rPr>
        <w:t>人才7名；省突出贡献专家、省中青年科技创新领军人才、省科技新星、省“青年杰出人才”、省青年拔尖人才等10名；省重点学科带头人4名，省教学名师、省优秀教师10名；全国“三八红旗手”、省部级“先进工作者”、“师德先进个人”、“五一巾帼标兵”等13名。学校现有全日制本科生13546人，研究生401人。升本以来，学校共为国家培养医药卫生人才3万余人，毕业生就业率一直保持在90%以上。</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坚持“面向基层，立足陕西，培养高素质应用型医药卫生人才”的培养理念，始终坚持“教学中心地位”不动摇，不断深化教育教学改革，创新人才培养模式，提高人才培养质量，教育教学水平逐年提高。在教育部和卫生部共同组织实施的“卓越医生教育培养计划”中，学校成为第一批卓越医生教育培养计划项目试点高校和第一批临床医学硕士专业学位研究生培养模式试点高校。</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现有省级教学成果奖6项，国家级卓越医生教学改革试点项目3项，省级教改课题20项，省级本科精品资源共享课程及精品课程12门，省级优秀教学团队5个，省级人才培养模式创新实验区4个，省级实验教学示范中心5个，国家级大学生校外实践基地1个，省级大学生校外实践教育基地1个。</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坚持以学科建设为龙头，以国家自然科学基金优先资助领域为导向，加大科研平台建设，科研项目、科研经费、科研成果数量逐年上升。现有陕西省呼吸病防治及诊治工程研究中心1个、陕西省缺血性心血管疾病重点实验室1个、陕西省脑疾病防治重点实验室1个、陕西省第二批科普基地1个、陕西省临床医学分中心6个、校级研究所（中心）7个。</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近五年来，学校获批国家自然科学基金项目37项，国家社会科学基金项目1项，其他国家部委项目1项，省级项目128项；获省级以上科研成果一等奖2项，二等奖7项，三等奖6项，获批专利60项。</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积极与第四军医大学、西安交通大学医学院在人才培养、学科建设、科学研究等方面开展战略协作。先后与美国韦伯州立大学、韩国庆熙大学、意大利CBM大学、瑞典隆德大学、美国哈町大学和尼泊尔国家医学科学院等国外院校及机构建立了合作交流关系，为进一步加强对外交流与合作打下了基础。</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学校坚持服务地方经济和社会发展，先后被确定为陕西省全科医生培训基地、陕西省基层医生培训中心，为陕西基层医疗卫生事业的发展做出了重要贡献。</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目前，学校大力实施“质量立校、特色兴校、人才强校、依法治校”战略，全面提高教育教学质量、科研水平和社会服务能力，进入了以内涵式发展为主的新阶段，学校各项事业呈现出蓬勃发展的良好局面。全校师生员工齐心协力，奋发图强，争取早日建成西北医科大学。</w:t>
      </w:r>
    </w:p>
    <w:p>
      <w:pPr>
        <w:ind w:firstLine="562" w:firstLineChars="200"/>
        <w:outlineLvl w:val="1"/>
        <w:rPr>
          <w:b/>
          <w:color w:val="000000" w:themeColor="text1"/>
          <w:sz w:val="28"/>
          <w:szCs w:val="28"/>
        </w:rPr>
      </w:pPr>
      <w:r>
        <w:rPr>
          <w:rFonts w:hint="eastAsia"/>
          <w:b/>
          <w:color w:val="000000" w:themeColor="text1"/>
          <w:sz w:val="28"/>
          <w:szCs w:val="28"/>
        </w:rPr>
        <w:t>（二）、机构情况</w:t>
      </w:r>
    </w:p>
    <w:p>
      <w:pPr>
        <w:spacing w:line="360" w:lineRule="auto"/>
        <w:ind w:firstLine="480" w:firstLineChars="200"/>
        <w:rPr>
          <w:rFonts w:asciiTheme="minorEastAsia" w:hAnsiTheme="minorEastAsia"/>
          <w:color w:val="000000" w:themeColor="text1"/>
          <w:sz w:val="24"/>
          <w:szCs w:val="28"/>
        </w:rPr>
      </w:pPr>
      <w:r>
        <w:rPr>
          <w:rFonts w:hint="eastAsia" w:asciiTheme="minorEastAsia" w:hAnsiTheme="minorEastAsia"/>
          <w:color w:val="000000" w:themeColor="text1"/>
          <w:sz w:val="24"/>
          <w:szCs w:val="28"/>
        </w:rPr>
        <w:t>学校独立编制机构1个，现有临床医学院、护理学院、药学院等14个教学单位。开办有研究生教育、普通本科教育和继续教育。临床医学具有一级学科硕士专业学位授予权，目前有全科医学、内科学、外科学、眼科学等16个二级学科硕士学位授权点。普通本科教育开办有临床医学、护理学、药学、预防医学、口腔医学等18个本科专业。学校现有省级重点专业（特色专业）3项，省级“专业综合改革试点项目”专业3项。</w:t>
      </w:r>
    </w:p>
    <w:p>
      <w:pPr>
        <w:ind w:firstLine="560" w:firstLineChars="200"/>
        <w:outlineLvl w:val="0"/>
        <w:rPr>
          <w:rFonts w:ascii="黑体" w:hAnsi="黑体" w:eastAsia="黑体"/>
          <w:color w:val="000000" w:themeColor="text1"/>
          <w:sz w:val="28"/>
          <w:szCs w:val="28"/>
        </w:rPr>
      </w:pPr>
      <w:r>
        <w:rPr>
          <w:rFonts w:hint="eastAsia" w:ascii="黑体" w:hAnsi="黑体" w:eastAsia="黑体"/>
          <w:color w:val="000000" w:themeColor="text1"/>
          <w:sz w:val="28"/>
          <w:szCs w:val="28"/>
        </w:rPr>
        <w:t>二、2017年度单位工作完成情况</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2018年是我校贯彻落实党的十九大精神和实施学校第一次党代会“三步走”发展战略的开局之年,也是落实“十三五”规划、全面深化改革的关键一年。学校以习近平新时代中国特色社会主义思想为指导，深入学习贯彻党的十九大精神，认真落实立德树人根本任务，在省委省政府和学校党委的正确领导下，按照2018年党政工作要点的安排，团结带领广大师生员工，有力推进了学校事业发展，取得了显著成绩。</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1、教育教学工作取得新进步</w:t>
      </w:r>
    </w:p>
    <w:p>
      <w:pPr>
        <w:spacing w:line="360" w:lineRule="auto"/>
        <w:ind w:firstLine="560" w:firstLineChars="200"/>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（1）本科教学标志性成果有了新突破</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bCs/>
          <w:color w:val="000000" w:themeColor="text1"/>
          <w:sz w:val="28"/>
          <w:szCs w:val="28"/>
        </w:rPr>
        <w:t>获批陕西省“一流学院”建设单位，名列陕西省5所一流公办应用型本科院校之首。获省级教学成果奖一等奖2项，新增省级教学名师1人。首次获批省级优秀教材一等奖1项，获省级优秀教材二等奖1项。获批2018年度省级虚拟仿真实验教学项目1项。在首届全省高校“课堂教学创新大赛”中获一等奖1项、三等奖1项。</w:t>
      </w:r>
      <w:r>
        <w:rPr>
          <w:rFonts w:hint="eastAsia" w:asciiTheme="minorEastAsia" w:hAnsiTheme="minorEastAsia"/>
          <w:color w:val="000000" w:themeColor="text1"/>
          <w:sz w:val="28"/>
          <w:szCs w:val="28"/>
        </w:rPr>
        <w:t>在首届人卫慕课在线开放课程建设比赛中获一等奖1项。</w:t>
      </w:r>
    </w:p>
    <w:p>
      <w:pPr>
        <w:spacing w:line="360" w:lineRule="auto"/>
        <w:ind w:firstLine="560" w:firstLineChars="200"/>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（2）教育教学改革得到进一步深化</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bCs/>
          <w:color w:val="000000" w:themeColor="text1"/>
          <w:sz w:val="28"/>
          <w:szCs w:val="28"/>
        </w:rPr>
        <w:t>贯彻新时代全国高等学校本科教育工作会议精神，全面推动学校教育教学改革，出台《西安医学院关于深化本科教育教学改革意见》。《西安医学院本科生学分制管理规定（修订）》和《西安医学院本科学生转专业规定（修订）》《西安医学院本科生延长学习年限暂行办法》等，改革教育教学模式，推进本科教学管理更加规范，体现“以学生为本”的人才培养理念。出台《西安医学院课程评价创新行动计划》，努力打造优质高效课堂教学。</w:t>
      </w:r>
      <w:r>
        <w:rPr>
          <w:rFonts w:hint="eastAsia" w:asciiTheme="minorEastAsia" w:hAnsiTheme="minorEastAsia"/>
          <w:color w:val="000000" w:themeColor="text1"/>
          <w:sz w:val="28"/>
          <w:szCs w:val="28"/>
        </w:rPr>
        <w:t>“课程思政”教学改革稳步推进，遴选15门课程作为校级“课程思政”教改项目。在西安市精神卫生中心设立精神卫生系，进一步推动医教研融合发展，深化育人方式改革。</w:t>
      </w:r>
    </w:p>
    <w:p>
      <w:pPr>
        <w:spacing w:line="360" w:lineRule="auto"/>
        <w:ind w:firstLine="560" w:firstLineChars="200"/>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（3）创新创业能力得到进一步提升</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在临床技能竞赛中，我校学生获西南西北赛区一等奖和全国总决赛三等奖。在第四届中国“互联网+”大学生创新创业大赛陕西赛区省级复赛中，获三银两铜的历史最好成绩。2018年获批23项国家级大学生创新创业训练计划项目和56项省级大学生创新创业训练计划项目。西安医学院——陕西秦巴山区天然中草药研究开发有限公司创新创业实践教育基地，获批为2018年陕西省大学生校外创新创业实践教学基地。李伟泽教授团队的创业项目“基于秦巴地区中草药资源的系列水凝胶贴剂产品产业化开发”晋级2018西安国际创业大赛总决赛。在2018“沣东杯”陕西科技工作者创新创业大赛中，我校申报的项目全部进入决赛并获奖，取得银奖1项、铜奖4项。</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（4）积极推动临床医学专业认证工作</w:t>
      </w:r>
    </w:p>
    <w:p>
      <w:pPr>
        <w:spacing w:line="360" w:lineRule="auto"/>
        <w:ind w:firstLine="560" w:firstLineChars="200"/>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确定2019年秋季迎接教育部专家组进校开展临床医学专业认证工作，制定了临床医学专业认证实施方案，向教育部提交了专业认证申请表和自评报告，开展了认证培训和毕业生就业需求专项调研，各项评审工作正在全面推进。</w:t>
      </w:r>
    </w:p>
    <w:p>
      <w:pPr>
        <w:spacing w:line="360" w:lineRule="auto"/>
        <w:ind w:firstLine="560" w:firstLineChars="200"/>
        <w:rPr>
          <w:rFonts w:asciiTheme="minorEastAsia" w:hAnsiTheme="minorEastAsia"/>
          <w:bCs/>
          <w:color w:val="000000" w:themeColor="text1"/>
          <w:sz w:val="28"/>
          <w:szCs w:val="28"/>
        </w:rPr>
      </w:pPr>
      <w:r>
        <w:rPr>
          <w:rFonts w:hint="eastAsia" w:asciiTheme="minorEastAsia" w:hAnsiTheme="minorEastAsia"/>
          <w:bCs/>
          <w:color w:val="000000" w:themeColor="text1"/>
          <w:sz w:val="28"/>
          <w:szCs w:val="28"/>
        </w:rPr>
        <w:t>（5）学生就业和岗位胜任能力持续向好</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截止目前，2018届本科毕业生总体就业率为96.72%，其中基层就业率为50%，研究生录取率为13.16%。2018届研究生就业率为100%。2018年临床执业医师通过率70.53%，高出全国平均通过率2.89%。</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2、学科建设和科研工作取得新进展</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与成都医学院联合培养药学专业硕士已经开始，与延安大学签订协议，即将联合培养基础医学和护理学硕士研究生。2018年，我校共获得109项纵向科技计划项目资助，其中国家自然科学基金项目获批10项（面上项目2项，青年项目8项），国家社会科学基金项目1项，总资助经费933.24万元，资助经费同比增长34.34％。首次实现校企合作横向科研项目12项共81.46万元。项目总经费首次突破千万元大关。获批陕西省科学技术二等奖2项、三等奖1项，实现了省级科技奖二等奖零的突破。获批陕西省脑疾病重点实验室建设，通过省缺血性心血管疾病重点实验室、陕西省呼吸病预防及诊治工程研究中心验收。以西安医学院为第一作者单位、在校职工为第一作者发表的SCI论文达到84篇，同比增长13.5%。授权专利28项，同比增长64.7%。换届成立了第三届学术委员会，召开了第一次科技大会，成功举办了</w:t>
      </w:r>
      <w:r>
        <w:fldChar w:fldCharType="begin"/>
      </w:r>
      <w:r>
        <w:instrText xml:space="preserve"> HYPERLINK "http://www.xiyi.edu.cn/wapz/jbdt/45738.htm" \t "_blank" </w:instrText>
      </w:r>
      <w:r>
        <w:fldChar w:fldCharType="separate"/>
      </w:r>
      <w:r>
        <w:rPr>
          <w:rStyle w:val="8"/>
          <w:rFonts w:hint="eastAsia" w:asciiTheme="minorEastAsia" w:hAnsiTheme="minorEastAsia"/>
          <w:color w:val="000000" w:themeColor="text1"/>
          <w:sz w:val="28"/>
          <w:szCs w:val="28"/>
          <w:u w:val="none"/>
        </w:rPr>
        <w:t>“医学人文研究与人文医院建设国际高峰论坛暨第六届国际生命伦理学学术研讨会”，“2018年中日国际动脉硬化学术研讨会”</w:t>
      </w:r>
      <w:r>
        <w:rPr>
          <w:rStyle w:val="8"/>
          <w:rFonts w:hint="eastAsia" w:asciiTheme="minorEastAsia" w:hAnsiTheme="minorEastAsia"/>
          <w:color w:val="000000" w:themeColor="text1"/>
          <w:sz w:val="28"/>
          <w:szCs w:val="28"/>
          <w:u w:val="none"/>
        </w:rPr>
        <w:fldChar w:fldCharType="end"/>
      </w:r>
      <w:r>
        <w:rPr>
          <w:rFonts w:hint="eastAsia" w:asciiTheme="minorEastAsia" w:hAnsiTheme="minorEastAsia"/>
          <w:color w:val="000000" w:themeColor="text1"/>
          <w:sz w:val="28"/>
          <w:szCs w:val="28"/>
        </w:rPr>
        <w:t>等国际学术会议，学术声誉不断提升。</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3、师资队伍建设再上新台阶</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校领导带队组团积极参加各类人才招聘会，到捷克、匈牙利和波兰引贤纳智，引进高层次人才1名，与2名博士签订工作意向协议。</w:t>
      </w:r>
      <w:r>
        <w:rPr>
          <w:rFonts w:hint="eastAsia" w:asciiTheme="minorEastAsia" w:hAnsiTheme="minorEastAsia"/>
          <w:bCs/>
          <w:color w:val="000000" w:themeColor="text1"/>
          <w:sz w:val="28"/>
          <w:szCs w:val="28"/>
        </w:rPr>
        <w:t>入选陕西省特支计划青年拔尖人才2人，陕西省普通高校青年杰出人才6人，当选为新一届中国高等学校教指委委员1人。</w:t>
      </w:r>
      <w:r>
        <w:rPr>
          <w:rFonts w:hint="eastAsia" w:asciiTheme="minorEastAsia" w:hAnsiTheme="minorEastAsia"/>
          <w:color w:val="000000" w:themeColor="text1"/>
          <w:sz w:val="28"/>
          <w:szCs w:val="28"/>
        </w:rPr>
        <w:t>评审晋级教授14名，其中校本部10名，是新增教授最多的一年。全面实施人才振兴计划，首批遴选9名校内优秀人才。录用、培养博士24名。首次组织中青年骨干教师40余名，赴北大开展业务培训，反响良好。实施人事分类改革和绩效改革，扩大二级单位分配自主权，即将通过岗位聘任实施办法，全面推行全员岗位聘任制。</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4、学生管理展现新风貌</w:t>
      </w:r>
    </w:p>
    <w:p>
      <w:pPr>
        <w:spacing w:line="360" w:lineRule="auto"/>
        <w:ind w:firstLine="560" w:firstLineChars="200"/>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制定“三全育人”实施方案，积极推进“五进公寓”和“‘5+1’S公寓管理”工作，提升管理育人水平。深入推进精准家访“百千万”工程，3名校级领导带队分别到新疆、宁夏、四川开展家访活动。狠抓少数民族学生管理工作，组织新疆籍师生开展向“三股势力”发声亮剑活动，开展以少数民族文化节为代表的形式多样的活动，效果显著。发挥第二课堂内容丰富、形式灵活的优势，开展“第二课堂成绩单”制度。开展以“青春大学习 建功新时代”为主题的暑期社会实践活动，其中“丹心献医”暑期社会实践团队荣获共青团中央“优秀团队”，“特殊关爱 医学助力”和“老有所医 老有所养”大学生暑期社会实践团队获省级优秀团队，学校获省级优秀组织单位。</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5、办学条件得到新改善</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（1）稳步推进校园信息化建设</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完成了对未央、含光、高新基础设施网络的升级改造，实现了校园网全面覆盖。办公自动化系统投入使用，提高了工作效率。与中国银行陕西省分行签署了《校园“一卡通”项目合作协议书》、《银校战略合作协议》，校园“一卡通”与各“业务平台系统”正在加紧建设。</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（2）加快校园基本建设</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未央校区学生公寓供电线路、自来水和消防系统、监控报警系统实现全面改造；完成了对学生食堂二楼和2号公寓楼改造工作；大学生活动中心、体育馆正在加紧内外装修。口腔医学院搬迁至高新校区后，合理调整未央校区实验教学用房，有效缓解了学校教学用房紧缺的状况。校医院改造工程暨未央湖医学院社区卫生服务中心建设工作正在顺利推进。</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（3）逐步提高教学科研公共服务能力</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校本部新增教学科研仪器808台件、价值1861.67万元。完成未央校区教学楼多媒体设备更新及标准化考场升级改造。加大大型仪器开放共享力度，积极推动实验室开放，健全实验室安全环保体系。规范了实验室危化品使用及废液集中管理，消除了安全隐患。加强图书信息建设，新入藏图书4.1万册，采购外文电子图书1万种。</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6、对外交流与服务社会能力得到新提升</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（1）对外合作与交流工作稳步推进</w:t>
      </w:r>
    </w:p>
    <w:p>
      <w:pPr>
        <w:spacing w:line="360" w:lineRule="auto"/>
        <w:ind w:firstLine="560" w:firstLineChars="200"/>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本年度因公出国（境）27批次，累计出访44人次，出访批次和人次为历年最多。接待国外、境外政府及大学代表团9批次。与英国皇家全科医学院和剑桥大学全科医学系达成合作意向，与匈牙利佩奇大学、波兰热舒夫大学医学院签署了合作办学框架协议，与日本纯真学园大学签署专业建设合作备忘录。与台湾辅英科技大学、弘光科技大学签订了合作办学及教师互访培训协议书。</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（2）服务社会能力逐步提高</w:t>
      </w:r>
    </w:p>
    <w:p>
      <w:pPr>
        <w:spacing w:line="360" w:lineRule="auto"/>
        <w:ind w:firstLine="560" w:firstLineChars="200"/>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承担了全国研究生考试和全省医师资格考试考点工作，并顺利完成2018年考务工作。承担了省卫健委128名全科医生转岗培训任务，新增3个成人学历教育校外教学点，新建首批8门继续教育在线学习课程。我校扶贫工作得到省委省政府肯定，学校荣获2017年度省级“两联一包”优秀帮扶单位。较好地完成“双百工程”扶贫工作专业技能培训任务。积极探索“农校对接”扶贫工作新模式，与镇安县对口协作扶贫农产品直营店开业。</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7、直属附属医院得到新发展</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直属附属医院持续提高医疗服务质量，提升现代医院管理水平。第一附属医院全年总收入5.2亿元，收入首次突破5亿元大关，同比增长8%；第二附属医院全年总收入6.01亿元，首次突破6亿元大关，同比增长20.68%；附属宝鸡医院全年总收入1.9亿元，同比增长9.5%；附属汉江医院全年总收入0.53亿元，同比增长11.5%。</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一附属医院荣获“中国医院质量管理优秀奖”，第二附属医院成功获批三甲医院并正式挂牌，附属宝鸡医院积极推进公立医院改革，实行党委领导下的院长负责制。与陕西省建工集团签订协议，同意接收省友谊医院为我校直属附属医院。</w:t>
      </w:r>
    </w:p>
    <w:p>
      <w:pPr>
        <w:ind w:firstLine="560" w:firstLineChars="200"/>
        <w:rPr>
          <w:color w:val="000000" w:themeColor="text1"/>
          <w:sz w:val="28"/>
          <w:szCs w:val="28"/>
        </w:rPr>
      </w:pPr>
      <w:r>
        <w:rPr>
          <w:rFonts w:hint="eastAsia" w:ascii="黑体" w:hAnsi="黑体" w:eastAsia="黑体"/>
          <w:color w:val="000000" w:themeColor="text1"/>
          <w:sz w:val="28"/>
          <w:szCs w:val="28"/>
        </w:rPr>
        <w:t>三、单位人员情况说明</w:t>
      </w:r>
    </w:p>
    <w:p>
      <w:pPr>
        <w:ind w:firstLine="560" w:firstLineChars="200"/>
        <w:rPr>
          <w:color w:val="000000" w:themeColor="text1"/>
          <w:sz w:val="28"/>
          <w:szCs w:val="28"/>
        </w:rPr>
      </w:pPr>
      <w:r>
        <w:rPr>
          <w:rFonts w:hint="eastAsia"/>
          <w:color w:val="000000" w:themeColor="text1"/>
          <w:sz w:val="28"/>
          <w:szCs w:val="28"/>
        </w:rPr>
        <w:t>截止2018年年底，本单位人员编制1160人，其中行政编制0人、事业编制1160人；实有人员707人，其中行政编制0人、事业编制707人。单位管理的离退休人员休人员共计8人，其中退休0人0，离休8人。如下图：</w:t>
      </w:r>
    </w:p>
    <w:p>
      <w:pPr>
        <w:ind w:firstLine="560" w:firstLineChars="200"/>
        <w:rPr>
          <w:color w:val="000000" w:themeColor="text1"/>
          <w:sz w:val="28"/>
          <w:szCs w:val="28"/>
        </w:rPr>
      </w:pPr>
    </w:p>
    <w:p>
      <w:pPr>
        <w:ind w:right="420" w:firstLine="420" w:firstLineChars="200"/>
        <w:jc w:val="right"/>
        <w:rPr>
          <w:color w:val="000000" w:themeColor="text1"/>
          <w:sz w:val="28"/>
          <w:szCs w:val="28"/>
        </w:rPr>
      </w:pPr>
      <w:r>
        <w:rPr>
          <w:color w:val="000000" w:themeColor="text1"/>
        </w:rPr>
        <w:drawing>
          <wp:inline distT="0" distB="0" distL="0" distR="0">
            <wp:extent cx="5922010" cy="3115310"/>
            <wp:effectExtent l="0" t="0" r="21590" b="2794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color w:val="000000" w:themeColor="text1"/>
          <w:sz w:val="28"/>
          <w:szCs w:val="28"/>
        </w:rPr>
        <w:t>图3-1</w:t>
      </w:r>
    </w:p>
    <w:p>
      <w:pPr>
        <w:ind w:firstLine="560" w:firstLineChars="200"/>
        <w:outlineLvl w:val="0"/>
        <w:rPr>
          <w:rFonts w:ascii="黑体" w:hAnsi="黑体" w:eastAsia="黑体"/>
          <w:color w:val="000000" w:themeColor="text1"/>
          <w:sz w:val="28"/>
          <w:szCs w:val="28"/>
        </w:rPr>
      </w:pPr>
      <w:r>
        <w:rPr>
          <w:rFonts w:hint="eastAsia" w:ascii="黑体" w:hAnsi="黑体" w:eastAsia="黑体"/>
          <w:color w:val="000000" w:themeColor="text1"/>
          <w:sz w:val="28"/>
          <w:szCs w:val="28"/>
        </w:rPr>
        <w:t>四、单位决算收支情况说明</w:t>
      </w:r>
    </w:p>
    <w:p>
      <w:pPr>
        <w:ind w:firstLine="560" w:firstLineChars="200"/>
        <w:outlineLvl w:val="1"/>
        <w:rPr>
          <w:color w:val="000000" w:themeColor="text1"/>
          <w:sz w:val="28"/>
          <w:szCs w:val="28"/>
        </w:rPr>
      </w:pPr>
      <w:r>
        <w:rPr>
          <w:rFonts w:hint="eastAsia"/>
          <w:color w:val="000000" w:themeColor="text1"/>
          <w:sz w:val="28"/>
          <w:szCs w:val="28"/>
        </w:rPr>
        <w:t>（一）、2018年度收入支出总体情况说明</w:t>
      </w:r>
    </w:p>
    <w:p>
      <w:pPr>
        <w:ind w:firstLine="560" w:firstLineChars="200"/>
        <w:rPr>
          <w:color w:val="000000" w:themeColor="text1"/>
          <w:sz w:val="28"/>
          <w:szCs w:val="28"/>
        </w:rPr>
      </w:pPr>
      <w:r>
        <w:rPr>
          <w:rFonts w:hint="eastAsia"/>
          <w:color w:val="000000" w:themeColor="text1"/>
          <w:sz w:val="28"/>
          <w:szCs w:val="28"/>
        </w:rPr>
        <w:t>1、收入总计38178.01万元。包括</w:t>
      </w:r>
    </w:p>
    <w:p>
      <w:pPr>
        <w:ind w:firstLine="562" w:firstLineChars="200"/>
        <w:rPr>
          <w:color w:val="000000" w:themeColor="text1"/>
          <w:sz w:val="28"/>
          <w:szCs w:val="28"/>
        </w:rPr>
      </w:pPr>
      <w:r>
        <w:rPr>
          <w:rFonts w:hint="eastAsia"/>
          <w:b/>
          <w:color w:val="000000" w:themeColor="text1"/>
          <w:sz w:val="28"/>
          <w:szCs w:val="28"/>
        </w:rPr>
        <w:t>1）财政拨款收入24791.28万元，</w:t>
      </w:r>
      <w:r>
        <w:rPr>
          <w:rFonts w:hint="eastAsia"/>
          <w:color w:val="000000" w:themeColor="text1"/>
          <w:sz w:val="28"/>
          <w:szCs w:val="28"/>
        </w:rPr>
        <w:t>为当年从财政取得的一般公共预算拨款和政府性基金预算拨款合计，较上年较少2454.60万元。主要原因为教育厅按照新的生均拨款制度下拨生均经费，较上年经费减少6471万元，但是中央支持地方专项拨款较上年提高4066万元。其他变化较上年可以忽略。</w:t>
      </w:r>
    </w:p>
    <w:p>
      <w:pPr>
        <w:ind w:firstLine="562" w:firstLineChars="200"/>
        <w:rPr>
          <w:color w:val="000000" w:themeColor="text1"/>
          <w:sz w:val="28"/>
          <w:szCs w:val="28"/>
        </w:rPr>
      </w:pPr>
      <w:r>
        <w:rPr>
          <w:rFonts w:hint="eastAsia"/>
          <w:b/>
          <w:color w:val="000000" w:themeColor="text1"/>
          <w:sz w:val="28"/>
          <w:szCs w:val="28"/>
        </w:rPr>
        <w:t>2）上级补助收入0万元，</w:t>
      </w:r>
      <w:r>
        <w:rPr>
          <w:rFonts w:hint="eastAsia"/>
          <w:color w:val="000000" w:themeColor="text1"/>
          <w:sz w:val="28"/>
          <w:szCs w:val="28"/>
        </w:rPr>
        <w:t>为本单位收到上级单位拨入的非财政补助资金。与上年相比增加0万元。主要原因为2017、2018年均无此项收入。</w:t>
      </w:r>
    </w:p>
    <w:p>
      <w:pPr>
        <w:ind w:firstLine="562" w:firstLineChars="200"/>
        <w:rPr>
          <w:color w:val="000000" w:themeColor="text1"/>
          <w:sz w:val="28"/>
          <w:szCs w:val="28"/>
        </w:rPr>
      </w:pPr>
      <w:r>
        <w:rPr>
          <w:rFonts w:hint="eastAsia"/>
          <w:b/>
          <w:color w:val="000000" w:themeColor="text1"/>
          <w:sz w:val="28"/>
          <w:szCs w:val="28"/>
        </w:rPr>
        <w:t>3）事业收入</w:t>
      </w:r>
      <w:r>
        <w:rPr>
          <w:b/>
          <w:color w:val="000000" w:themeColor="text1"/>
          <w:sz w:val="28"/>
          <w:szCs w:val="28"/>
        </w:rPr>
        <w:t>12334</w:t>
      </w:r>
      <w:r>
        <w:rPr>
          <w:rFonts w:hint="eastAsia"/>
          <w:b/>
          <w:color w:val="000000" w:themeColor="text1"/>
          <w:sz w:val="28"/>
          <w:szCs w:val="28"/>
        </w:rPr>
        <w:t>.</w:t>
      </w:r>
      <w:r>
        <w:rPr>
          <w:b/>
          <w:color w:val="000000" w:themeColor="text1"/>
          <w:sz w:val="28"/>
          <w:szCs w:val="28"/>
        </w:rPr>
        <w:t>19</w:t>
      </w:r>
      <w:r>
        <w:rPr>
          <w:rFonts w:hint="eastAsia"/>
          <w:b/>
          <w:color w:val="000000" w:themeColor="text1"/>
          <w:sz w:val="28"/>
          <w:szCs w:val="28"/>
        </w:rPr>
        <w:t>万元，</w:t>
      </w:r>
      <w:r>
        <w:rPr>
          <w:rFonts w:hint="eastAsia"/>
          <w:color w:val="000000" w:themeColor="text1"/>
          <w:sz w:val="28"/>
          <w:szCs w:val="28"/>
        </w:rPr>
        <w:t>为开展教育教学业务活动取得学生学费、住宿费等收入。与上年相比增加</w:t>
      </w:r>
      <w:r>
        <w:rPr>
          <w:color w:val="000000" w:themeColor="text1"/>
          <w:sz w:val="28"/>
          <w:szCs w:val="28"/>
        </w:rPr>
        <w:t>2384</w:t>
      </w:r>
      <w:r>
        <w:rPr>
          <w:rFonts w:hint="eastAsia"/>
          <w:color w:val="000000" w:themeColor="text1"/>
          <w:sz w:val="28"/>
          <w:szCs w:val="28"/>
        </w:rPr>
        <w:t>.</w:t>
      </w:r>
      <w:r>
        <w:rPr>
          <w:color w:val="000000" w:themeColor="text1"/>
          <w:sz w:val="28"/>
          <w:szCs w:val="28"/>
        </w:rPr>
        <w:t>19</w:t>
      </w:r>
      <w:r>
        <w:rPr>
          <w:rFonts w:hint="eastAsia"/>
          <w:color w:val="000000" w:themeColor="text1"/>
          <w:sz w:val="28"/>
          <w:szCs w:val="28"/>
        </w:rPr>
        <w:t>万元。主要原因为事业收入较上年增加23.96%，主要原因为事业收入较上年增加2384.19万元，其中纳入财政专户管理的事业收入增加1850万元主要原因为成教学院运营模式变化及学校学生人数增加引起，科研事业收入增加534.19万元主要为一线教师申请的科研经费增加。</w:t>
      </w:r>
    </w:p>
    <w:p>
      <w:pPr>
        <w:ind w:firstLine="562" w:firstLineChars="200"/>
        <w:rPr>
          <w:color w:val="000000" w:themeColor="text1"/>
          <w:sz w:val="28"/>
          <w:szCs w:val="28"/>
        </w:rPr>
      </w:pPr>
      <w:r>
        <w:rPr>
          <w:rFonts w:hint="eastAsia"/>
          <w:b/>
          <w:color w:val="000000" w:themeColor="text1"/>
          <w:sz w:val="28"/>
          <w:szCs w:val="28"/>
        </w:rPr>
        <w:t>4）经营收入0万元，</w:t>
      </w:r>
      <w:r>
        <w:rPr>
          <w:rFonts w:hint="eastAsia"/>
          <w:color w:val="000000" w:themeColor="text1"/>
          <w:sz w:val="28"/>
          <w:szCs w:val="28"/>
        </w:rPr>
        <w:t>为本单位在专业业务活动及其辅助活动之外开展非独立核算经营活动取得的收入。较上年增加0万元。主要原因为无此项收入。</w:t>
      </w:r>
    </w:p>
    <w:p>
      <w:pPr>
        <w:ind w:firstLine="562" w:firstLineChars="200"/>
        <w:rPr>
          <w:color w:val="000000" w:themeColor="text1"/>
          <w:sz w:val="28"/>
          <w:szCs w:val="28"/>
        </w:rPr>
      </w:pPr>
      <w:r>
        <w:rPr>
          <w:rFonts w:hint="eastAsia"/>
          <w:b/>
          <w:color w:val="000000" w:themeColor="text1"/>
          <w:sz w:val="28"/>
          <w:szCs w:val="28"/>
        </w:rPr>
        <w:t>5）附属单位上缴收入0万元</w:t>
      </w:r>
      <w:r>
        <w:rPr>
          <w:rFonts w:hint="eastAsia"/>
          <w:color w:val="000000" w:themeColor="text1"/>
          <w:sz w:val="28"/>
          <w:szCs w:val="28"/>
        </w:rPr>
        <w:t>，为本单位附属独立核算单位按照规定上缴的收入。与上年相比增加0万元。主要原因为本单位虽然有四家直属附属医院，但未有此项收入。</w:t>
      </w:r>
    </w:p>
    <w:p>
      <w:pPr>
        <w:ind w:firstLine="562" w:firstLineChars="200"/>
        <w:rPr>
          <w:color w:val="000000" w:themeColor="text1"/>
          <w:sz w:val="28"/>
          <w:szCs w:val="28"/>
        </w:rPr>
      </w:pPr>
      <w:r>
        <w:rPr>
          <w:rFonts w:hint="eastAsia"/>
          <w:b/>
          <w:color w:val="000000" w:themeColor="text1"/>
          <w:sz w:val="28"/>
          <w:szCs w:val="28"/>
        </w:rPr>
        <w:t>6）其他收入</w:t>
      </w:r>
      <w:r>
        <w:rPr>
          <w:b/>
          <w:color w:val="000000" w:themeColor="text1"/>
          <w:sz w:val="28"/>
          <w:szCs w:val="28"/>
        </w:rPr>
        <w:t>1052</w:t>
      </w:r>
      <w:r>
        <w:rPr>
          <w:rFonts w:hint="eastAsia"/>
          <w:b/>
          <w:color w:val="000000" w:themeColor="text1"/>
          <w:sz w:val="28"/>
          <w:szCs w:val="28"/>
        </w:rPr>
        <w:t>.</w:t>
      </w:r>
      <w:r>
        <w:rPr>
          <w:b/>
          <w:color w:val="000000" w:themeColor="text1"/>
          <w:sz w:val="28"/>
          <w:szCs w:val="28"/>
        </w:rPr>
        <w:t>5</w:t>
      </w:r>
      <w:r>
        <w:rPr>
          <w:rFonts w:hint="eastAsia"/>
          <w:b/>
          <w:color w:val="000000" w:themeColor="text1"/>
          <w:sz w:val="28"/>
          <w:szCs w:val="28"/>
        </w:rPr>
        <w:t>4万元，</w:t>
      </w:r>
      <w:r>
        <w:rPr>
          <w:rFonts w:hint="eastAsia"/>
          <w:color w:val="000000" w:themeColor="text1"/>
          <w:sz w:val="28"/>
          <w:szCs w:val="28"/>
        </w:rPr>
        <w:t>为单位取得除上述收入以外的各项收入，主要为取得有利息收入、捐赠收入等。</w:t>
      </w:r>
    </w:p>
    <w:p>
      <w:pPr>
        <w:ind w:firstLine="562" w:firstLineChars="200"/>
        <w:rPr>
          <w:color w:val="000000" w:themeColor="text1"/>
          <w:sz w:val="28"/>
          <w:szCs w:val="28"/>
        </w:rPr>
      </w:pPr>
      <w:r>
        <w:rPr>
          <w:rFonts w:hint="eastAsia"/>
          <w:b/>
          <w:color w:val="000000" w:themeColor="text1"/>
          <w:sz w:val="28"/>
          <w:szCs w:val="28"/>
        </w:rPr>
        <w:t>7）用事业基金弥补收支差额</w:t>
      </w:r>
      <w:r>
        <w:rPr>
          <w:b/>
          <w:color w:val="000000" w:themeColor="text1"/>
          <w:sz w:val="28"/>
          <w:szCs w:val="28"/>
        </w:rPr>
        <w:t>7541.19</w:t>
      </w:r>
      <w:r>
        <w:rPr>
          <w:rFonts w:hint="eastAsia"/>
          <w:b/>
          <w:color w:val="000000" w:themeColor="text1"/>
          <w:sz w:val="28"/>
          <w:szCs w:val="28"/>
        </w:rPr>
        <w:t>万元，</w:t>
      </w:r>
      <w:r>
        <w:rPr>
          <w:rFonts w:hint="eastAsia"/>
          <w:color w:val="000000" w:themeColor="text1"/>
          <w:sz w:val="28"/>
          <w:szCs w:val="28"/>
        </w:rPr>
        <w:t>为事业单位用事业基金弥补当年收支差额的数额。事业单位事业基金较上年减少19.39%，主要原因为事业结余形成事业基金为负数导致。</w:t>
      </w:r>
    </w:p>
    <w:p>
      <w:pPr>
        <w:ind w:firstLine="562" w:firstLineChars="200"/>
        <w:rPr>
          <w:color w:val="000000" w:themeColor="text1"/>
          <w:sz w:val="28"/>
          <w:szCs w:val="28"/>
        </w:rPr>
      </w:pPr>
      <w:r>
        <w:rPr>
          <w:rFonts w:hint="eastAsia"/>
          <w:b/>
          <w:color w:val="000000" w:themeColor="text1"/>
          <w:sz w:val="28"/>
          <w:szCs w:val="28"/>
        </w:rPr>
        <w:t>8）年初结转和结余2997.13万元</w:t>
      </w:r>
      <w:r>
        <w:rPr>
          <w:rFonts w:hint="eastAsia"/>
          <w:color w:val="000000" w:themeColor="text1"/>
          <w:sz w:val="28"/>
          <w:szCs w:val="28"/>
        </w:rPr>
        <w:t>，主要为本单位上年结转本年使用的结转资金。</w:t>
      </w:r>
    </w:p>
    <w:tbl>
      <w:tblPr>
        <w:tblStyle w:val="5"/>
        <w:tblW w:w="9826" w:type="dxa"/>
        <w:tblInd w:w="93" w:type="dxa"/>
        <w:tblLayout w:type="autofit"/>
        <w:tblCellMar>
          <w:top w:w="0" w:type="dxa"/>
          <w:left w:w="108" w:type="dxa"/>
          <w:bottom w:w="0" w:type="dxa"/>
          <w:right w:w="108" w:type="dxa"/>
        </w:tblCellMar>
      </w:tblPr>
      <w:tblGrid>
        <w:gridCol w:w="5003"/>
        <w:gridCol w:w="2564"/>
        <w:gridCol w:w="2259"/>
      </w:tblGrid>
      <w:tr>
        <w:tblPrEx>
          <w:tblCellMar>
            <w:top w:w="0" w:type="dxa"/>
            <w:left w:w="108" w:type="dxa"/>
            <w:bottom w:w="0" w:type="dxa"/>
            <w:right w:w="108" w:type="dxa"/>
          </w:tblCellMar>
        </w:tblPrEx>
        <w:trPr>
          <w:trHeight w:val="406" w:hRule="atLeast"/>
        </w:trPr>
        <w:tc>
          <w:tcPr>
            <w:tcW w:w="9826"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2018年度收入总体情况表</w:t>
            </w:r>
          </w:p>
        </w:tc>
      </w:tr>
      <w:tr>
        <w:tblPrEx>
          <w:tblCellMar>
            <w:top w:w="0" w:type="dxa"/>
            <w:left w:w="108" w:type="dxa"/>
            <w:bottom w:w="0" w:type="dxa"/>
            <w:right w:w="108" w:type="dxa"/>
          </w:tblCellMar>
        </w:tblPrEx>
        <w:trPr>
          <w:trHeight w:val="406" w:hRule="atLeast"/>
        </w:trPr>
        <w:tc>
          <w:tcPr>
            <w:tcW w:w="5003"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收入名称</w:t>
            </w:r>
          </w:p>
        </w:tc>
        <w:tc>
          <w:tcPr>
            <w:tcW w:w="2564"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金额</w:t>
            </w:r>
          </w:p>
        </w:tc>
        <w:tc>
          <w:tcPr>
            <w:tcW w:w="2259"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比例</w:t>
            </w:r>
          </w:p>
        </w:tc>
      </w:tr>
      <w:tr>
        <w:tblPrEx>
          <w:tblCellMar>
            <w:top w:w="0" w:type="dxa"/>
            <w:left w:w="108" w:type="dxa"/>
            <w:bottom w:w="0" w:type="dxa"/>
            <w:right w:w="108" w:type="dxa"/>
          </w:tblCellMar>
        </w:tblPrEx>
        <w:trPr>
          <w:trHeight w:val="406" w:hRule="atLeast"/>
        </w:trPr>
        <w:tc>
          <w:tcPr>
            <w:tcW w:w="5003"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财政拨款收入</w:t>
            </w:r>
          </w:p>
        </w:tc>
        <w:tc>
          <w:tcPr>
            <w:tcW w:w="256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24,791.28</w:t>
            </w:r>
          </w:p>
        </w:tc>
        <w:tc>
          <w:tcPr>
            <w:tcW w:w="2259"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50.89%</w:t>
            </w:r>
          </w:p>
        </w:tc>
      </w:tr>
      <w:tr>
        <w:tblPrEx>
          <w:tblCellMar>
            <w:top w:w="0" w:type="dxa"/>
            <w:left w:w="108" w:type="dxa"/>
            <w:bottom w:w="0" w:type="dxa"/>
            <w:right w:w="108" w:type="dxa"/>
          </w:tblCellMar>
        </w:tblPrEx>
        <w:trPr>
          <w:trHeight w:val="406" w:hRule="atLeast"/>
        </w:trPr>
        <w:tc>
          <w:tcPr>
            <w:tcW w:w="5003"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事业收入</w:t>
            </w:r>
          </w:p>
        </w:tc>
        <w:tc>
          <w:tcPr>
            <w:tcW w:w="256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12,334.19</w:t>
            </w:r>
          </w:p>
        </w:tc>
        <w:tc>
          <w:tcPr>
            <w:tcW w:w="2259"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25.32%</w:t>
            </w:r>
          </w:p>
        </w:tc>
      </w:tr>
      <w:tr>
        <w:tblPrEx>
          <w:tblCellMar>
            <w:top w:w="0" w:type="dxa"/>
            <w:left w:w="108" w:type="dxa"/>
            <w:bottom w:w="0" w:type="dxa"/>
            <w:right w:w="108" w:type="dxa"/>
          </w:tblCellMar>
        </w:tblPrEx>
        <w:trPr>
          <w:trHeight w:val="406" w:hRule="atLeast"/>
        </w:trPr>
        <w:tc>
          <w:tcPr>
            <w:tcW w:w="5003"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其他收入</w:t>
            </w:r>
          </w:p>
        </w:tc>
        <w:tc>
          <w:tcPr>
            <w:tcW w:w="256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1,052.54</w:t>
            </w:r>
          </w:p>
        </w:tc>
        <w:tc>
          <w:tcPr>
            <w:tcW w:w="2259"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2.16%</w:t>
            </w:r>
          </w:p>
        </w:tc>
      </w:tr>
      <w:tr>
        <w:tblPrEx>
          <w:tblCellMar>
            <w:top w:w="0" w:type="dxa"/>
            <w:left w:w="108" w:type="dxa"/>
            <w:bottom w:w="0" w:type="dxa"/>
            <w:right w:w="108" w:type="dxa"/>
          </w:tblCellMar>
        </w:tblPrEx>
        <w:trPr>
          <w:trHeight w:val="406" w:hRule="atLeast"/>
        </w:trPr>
        <w:tc>
          <w:tcPr>
            <w:tcW w:w="5003" w:type="dxa"/>
            <w:tcBorders>
              <w:top w:val="nil"/>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年初结转和结余</w:t>
            </w:r>
          </w:p>
        </w:tc>
        <w:tc>
          <w:tcPr>
            <w:tcW w:w="2564"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2,997.13</w:t>
            </w:r>
          </w:p>
        </w:tc>
        <w:tc>
          <w:tcPr>
            <w:tcW w:w="2259"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6.15%</w:t>
            </w:r>
          </w:p>
        </w:tc>
      </w:tr>
      <w:tr>
        <w:tblPrEx>
          <w:tblCellMar>
            <w:top w:w="0" w:type="dxa"/>
            <w:left w:w="108" w:type="dxa"/>
            <w:bottom w:w="0" w:type="dxa"/>
            <w:right w:w="108" w:type="dxa"/>
          </w:tblCellMar>
        </w:tblPrEx>
        <w:trPr>
          <w:trHeight w:val="406" w:hRule="atLeast"/>
        </w:trPr>
        <w:tc>
          <w:tcPr>
            <w:tcW w:w="500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用事业基金弥补收支差额</w:t>
            </w:r>
          </w:p>
        </w:tc>
        <w:tc>
          <w:tcPr>
            <w:tcW w:w="256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7541.19</w:t>
            </w:r>
          </w:p>
        </w:tc>
        <w:tc>
          <w:tcPr>
            <w:tcW w:w="2259"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15.48%</w:t>
            </w:r>
          </w:p>
        </w:tc>
      </w:tr>
    </w:tbl>
    <w:p>
      <w:pPr>
        <w:ind w:firstLine="560" w:firstLineChars="200"/>
        <w:rPr>
          <w:color w:val="000000" w:themeColor="text1"/>
          <w:sz w:val="28"/>
          <w:szCs w:val="28"/>
        </w:rPr>
      </w:pPr>
    </w:p>
    <w:p>
      <w:pPr>
        <w:ind w:right="140" w:firstLine="560" w:firstLineChars="200"/>
        <w:jc w:val="right"/>
        <w:rPr>
          <w:color w:val="000000" w:themeColor="text1"/>
          <w:sz w:val="28"/>
          <w:szCs w:val="28"/>
        </w:rPr>
      </w:pPr>
      <w:r>
        <w:rPr>
          <w:rFonts w:hint="eastAsia"/>
          <w:color w:val="000000" w:themeColor="text1"/>
          <w:sz w:val="28"/>
          <w:szCs w:val="28"/>
        </w:rPr>
        <w:t>表4-1单位：万元</w:t>
      </w:r>
    </w:p>
    <w:p>
      <w:pPr>
        <w:ind w:right="700" w:firstLine="560" w:firstLineChars="200"/>
        <w:jc w:val="right"/>
        <w:rPr>
          <w:color w:val="000000" w:themeColor="text1"/>
          <w:sz w:val="28"/>
          <w:szCs w:val="28"/>
        </w:rPr>
      </w:pPr>
    </w:p>
    <w:p>
      <w:pPr>
        <w:ind w:firstLine="420" w:firstLineChars="200"/>
        <w:rPr>
          <w:color w:val="000000" w:themeColor="text1"/>
          <w:sz w:val="28"/>
          <w:szCs w:val="28"/>
        </w:rPr>
      </w:pPr>
      <w:r>
        <w:rPr>
          <w:color w:val="000000" w:themeColor="text1"/>
        </w:rPr>
        <w:drawing>
          <wp:inline distT="0" distB="0" distL="0" distR="0">
            <wp:extent cx="5645785" cy="2817495"/>
            <wp:effectExtent l="0" t="0" r="12065" b="209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560" w:firstLineChars="200"/>
        <w:rPr>
          <w:color w:val="000000" w:themeColor="text1"/>
          <w:sz w:val="28"/>
          <w:szCs w:val="28"/>
        </w:rPr>
      </w:pPr>
    </w:p>
    <w:p>
      <w:pPr>
        <w:ind w:right="280" w:firstLine="560" w:firstLineChars="200"/>
        <w:jc w:val="right"/>
        <w:rPr>
          <w:color w:val="000000" w:themeColor="text1"/>
          <w:sz w:val="28"/>
          <w:szCs w:val="28"/>
        </w:rPr>
      </w:pPr>
      <w:r>
        <w:rPr>
          <w:rFonts w:hint="eastAsia"/>
          <w:color w:val="000000" w:themeColor="text1"/>
          <w:sz w:val="28"/>
          <w:szCs w:val="28"/>
        </w:rPr>
        <w:t>图4-1</w:t>
      </w:r>
    </w:p>
    <w:p>
      <w:pPr>
        <w:ind w:firstLine="562" w:firstLineChars="200"/>
        <w:rPr>
          <w:color w:val="000000" w:themeColor="text1"/>
          <w:sz w:val="28"/>
          <w:szCs w:val="28"/>
        </w:rPr>
      </w:pPr>
      <w:r>
        <w:rPr>
          <w:rFonts w:hint="eastAsia"/>
          <w:b/>
          <w:color w:val="000000" w:themeColor="text1"/>
          <w:sz w:val="28"/>
          <w:szCs w:val="28"/>
        </w:rPr>
        <w:t>2、本年度支出合计</w:t>
      </w:r>
      <w:r>
        <w:rPr>
          <w:b/>
          <w:color w:val="000000" w:themeColor="text1"/>
          <w:sz w:val="28"/>
          <w:szCs w:val="28"/>
        </w:rPr>
        <w:t>48,716.32</w:t>
      </w:r>
      <w:r>
        <w:rPr>
          <w:rFonts w:hint="eastAsia"/>
          <w:b/>
          <w:color w:val="000000" w:themeColor="text1"/>
          <w:sz w:val="28"/>
          <w:szCs w:val="28"/>
        </w:rPr>
        <w:t>万元</w:t>
      </w:r>
      <w:r>
        <w:rPr>
          <w:rFonts w:hint="eastAsia"/>
          <w:color w:val="000000" w:themeColor="text1"/>
          <w:sz w:val="28"/>
          <w:szCs w:val="28"/>
        </w:rPr>
        <w:t>。包括：</w:t>
      </w:r>
    </w:p>
    <w:p>
      <w:pPr>
        <w:ind w:firstLine="560" w:firstLineChars="200"/>
        <w:rPr>
          <w:color w:val="000000" w:themeColor="text1"/>
          <w:sz w:val="28"/>
          <w:szCs w:val="28"/>
        </w:rPr>
      </w:pPr>
      <w:r>
        <w:rPr>
          <w:rFonts w:hint="eastAsia"/>
          <w:color w:val="000000" w:themeColor="text1"/>
          <w:sz w:val="28"/>
          <w:szCs w:val="28"/>
        </w:rPr>
        <w:t>1）教育支出45238.09万元。主要用于开展教育教学活动的各项费用开支等。较上年增加12199.45万元。主要原因有财政资金的安排的大学生体育馆建设项目工程进度确认；政策性人员调整及机关事业单位养老金改革的支出。</w:t>
      </w:r>
    </w:p>
    <w:p>
      <w:pPr>
        <w:ind w:firstLine="560" w:firstLineChars="200"/>
        <w:rPr>
          <w:color w:val="000000" w:themeColor="text1"/>
          <w:sz w:val="28"/>
          <w:szCs w:val="28"/>
        </w:rPr>
      </w:pPr>
      <w:r>
        <w:rPr>
          <w:rFonts w:hint="eastAsia"/>
          <w:color w:val="000000" w:themeColor="text1"/>
          <w:sz w:val="28"/>
          <w:szCs w:val="28"/>
        </w:rPr>
        <w:t>2）社会保障和就业支出365.25万元。主要用于本单位开展社会保障和就业管理实务方面的支出。包括：正式在编人员事业单位养老保险等支出。相比上年减少5.51万元，主要原因是人员正常退休引起的减少。</w:t>
      </w:r>
    </w:p>
    <w:p>
      <w:pPr>
        <w:ind w:firstLine="560" w:firstLineChars="200"/>
        <w:rPr>
          <w:color w:val="000000" w:themeColor="text1"/>
          <w:sz w:val="28"/>
          <w:szCs w:val="28"/>
        </w:rPr>
      </w:pPr>
      <w:r>
        <w:rPr>
          <w:rFonts w:hint="eastAsia"/>
          <w:color w:val="000000" w:themeColor="text1"/>
          <w:sz w:val="28"/>
          <w:szCs w:val="28"/>
        </w:rPr>
        <w:t>3）医疗卫生与计划生育支出1055.01万元。主要用于医疗卫生管理实务、公立医院、基层医疗卫生机构、公共卫生、医疗保障、计划生育等支出。较上年增加500.51万元。主要原因为财政拨付本单位医疗卫生专项拨款增加。</w:t>
      </w:r>
    </w:p>
    <w:p>
      <w:pPr>
        <w:ind w:firstLine="560" w:firstLineChars="200"/>
        <w:rPr>
          <w:color w:val="000000" w:themeColor="text1"/>
          <w:sz w:val="28"/>
          <w:szCs w:val="28"/>
        </w:rPr>
      </w:pPr>
      <w:r>
        <w:rPr>
          <w:rFonts w:hint="eastAsia"/>
          <w:color w:val="000000" w:themeColor="text1"/>
          <w:sz w:val="28"/>
          <w:szCs w:val="28"/>
        </w:rPr>
        <w:t>4）住房保障支出1218.77万元。主要用于省人社厅及事业单位按照国家政策规定用于住房保障方面的支出。较上年增加347.03万元。主要原因为政策性调资引起的住房保障支出增加和本单位引进的高层次人才补交住房公积金。</w:t>
      </w:r>
    </w:p>
    <w:p>
      <w:pPr>
        <w:ind w:firstLine="560" w:firstLineChars="200"/>
        <w:rPr>
          <w:color w:val="000000" w:themeColor="text1"/>
          <w:sz w:val="28"/>
          <w:szCs w:val="28"/>
        </w:rPr>
      </w:pPr>
      <w:r>
        <w:rPr>
          <w:rFonts w:hint="eastAsia"/>
          <w:color w:val="000000" w:themeColor="text1"/>
          <w:sz w:val="28"/>
          <w:szCs w:val="28"/>
        </w:rPr>
        <w:t>6）年末结转和结余839.2万元，为单位结转下年的项目支出结转和结余。主要为本单位因各种原因无法实施完成或需要延迟到以后年度按规定使用的资金。</w:t>
      </w:r>
    </w:p>
    <w:tbl>
      <w:tblPr>
        <w:tblStyle w:val="5"/>
        <w:tblW w:w="9674" w:type="dxa"/>
        <w:tblInd w:w="93" w:type="dxa"/>
        <w:tblLayout w:type="autofit"/>
        <w:tblCellMar>
          <w:top w:w="0" w:type="dxa"/>
          <w:left w:w="108" w:type="dxa"/>
          <w:bottom w:w="0" w:type="dxa"/>
          <w:right w:w="108" w:type="dxa"/>
        </w:tblCellMar>
      </w:tblPr>
      <w:tblGrid>
        <w:gridCol w:w="5260"/>
        <w:gridCol w:w="2693"/>
        <w:gridCol w:w="1721"/>
      </w:tblGrid>
      <w:tr>
        <w:tblPrEx>
          <w:tblCellMar>
            <w:top w:w="0" w:type="dxa"/>
            <w:left w:w="108" w:type="dxa"/>
            <w:bottom w:w="0" w:type="dxa"/>
            <w:right w:w="108" w:type="dxa"/>
          </w:tblCellMar>
        </w:tblPrEx>
        <w:trPr>
          <w:trHeight w:val="443" w:hRule="atLeast"/>
        </w:trPr>
        <w:tc>
          <w:tcPr>
            <w:tcW w:w="9674"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2018年度支出总体情况表</w:t>
            </w:r>
          </w:p>
        </w:tc>
      </w:tr>
      <w:tr>
        <w:tblPrEx>
          <w:tblCellMar>
            <w:top w:w="0" w:type="dxa"/>
            <w:left w:w="108" w:type="dxa"/>
            <w:bottom w:w="0" w:type="dxa"/>
            <w:right w:w="108" w:type="dxa"/>
          </w:tblCellMar>
        </w:tblPrEx>
        <w:trPr>
          <w:trHeight w:val="443" w:hRule="atLeast"/>
        </w:trPr>
        <w:tc>
          <w:tcPr>
            <w:tcW w:w="5260"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支出分类</w:t>
            </w:r>
          </w:p>
        </w:tc>
        <w:tc>
          <w:tcPr>
            <w:tcW w:w="2693"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金额</w:t>
            </w:r>
          </w:p>
        </w:tc>
        <w:tc>
          <w:tcPr>
            <w:tcW w:w="1721"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比例</w:t>
            </w:r>
          </w:p>
        </w:tc>
      </w:tr>
      <w:tr>
        <w:tblPrEx>
          <w:tblCellMar>
            <w:top w:w="0" w:type="dxa"/>
            <w:left w:w="108" w:type="dxa"/>
            <w:bottom w:w="0" w:type="dxa"/>
            <w:right w:w="108" w:type="dxa"/>
          </w:tblCellMar>
        </w:tblPrEx>
        <w:trPr>
          <w:trHeight w:val="443" w:hRule="atLeast"/>
        </w:trPr>
        <w:tc>
          <w:tcPr>
            <w:tcW w:w="5260"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教育支出</w:t>
            </w:r>
          </w:p>
        </w:tc>
        <w:tc>
          <w:tcPr>
            <w:tcW w:w="269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45,238.09</w:t>
            </w:r>
          </w:p>
        </w:tc>
        <w:tc>
          <w:tcPr>
            <w:tcW w:w="1721"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92.86%</w:t>
            </w:r>
          </w:p>
        </w:tc>
      </w:tr>
      <w:tr>
        <w:tblPrEx>
          <w:tblCellMar>
            <w:top w:w="0" w:type="dxa"/>
            <w:left w:w="108" w:type="dxa"/>
            <w:bottom w:w="0" w:type="dxa"/>
            <w:right w:w="108" w:type="dxa"/>
          </w:tblCellMar>
        </w:tblPrEx>
        <w:trPr>
          <w:trHeight w:val="443" w:hRule="atLeast"/>
        </w:trPr>
        <w:tc>
          <w:tcPr>
            <w:tcW w:w="5260"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社会保障和就业支出</w:t>
            </w:r>
          </w:p>
        </w:tc>
        <w:tc>
          <w:tcPr>
            <w:tcW w:w="269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365.25</w:t>
            </w:r>
          </w:p>
        </w:tc>
        <w:tc>
          <w:tcPr>
            <w:tcW w:w="1721"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0.75%</w:t>
            </w:r>
          </w:p>
        </w:tc>
      </w:tr>
      <w:tr>
        <w:tblPrEx>
          <w:tblCellMar>
            <w:top w:w="0" w:type="dxa"/>
            <w:left w:w="108" w:type="dxa"/>
            <w:bottom w:w="0" w:type="dxa"/>
            <w:right w:w="108" w:type="dxa"/>
          </w:tblCellMar>
        </w:tblPrEx>
        <w:trPr>
          <w:trHeight w:val="443" w:hRule="atLeast"/>
        </w:trPr>
        <w:tc>
          <w:tcPr>
            <w:tcW w:w="5260"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医疗卫生与计划生育支出</w:t>
            </w:r>
          </w:p>
        </w:tc>
        <w:tc>
          <w:tcPr>
            <w:tcW w:w="269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1,055.01</w:t>
            </w:r>
          </w:p>
        </w:tc>
        <w:tc>
          <w:tcPr>
            <w:tcW w:w="1721"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2.17%</w:t>
            </w:r>
          </w:p>
        </w:tc>
      </w:tr>
      <w:tr>
        <w:tblPrEx>
          <w:tblCellMar>
            <w:top w:w="0" w:type="dxa"/>
            <w:left w:w="108" w:type="dxa"/>
            <w:bottom w:w="0" w:type="dxa"/>
            <w:right w:w="108" w:type="dxa"/>
          </w:tblCellMar>
        </w:tblPrEx>
        <w:trPr>
          <w:trHeight w:val="443" w:hRule="atLeast"/>
        </w:trPr>
        <w:tc>
          <w:tcPr>
            <w:tcW w:w="5260"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住房保障支出</w:t>
            </w:r>
          </w:p>
        </w:tc>
        <w:tc>
          <w:tcPr>
            <w:tcW w:w="269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1,218.77</w:t>
            </w:r>
          </w:p>
        </w:tc>
        <w:tc>
          <w:tcPr>
            <w:tcW w:w="1721"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2.50%</w:t>
            </w:r>
          </w:p>
        </w:tc>
      </w:tr>
      <w:tr>
        <w:tblPrEx>
          <w:tblCellMar>
            <w:top w:w="0" w:type="dxa"/>
            <w:left w:w="108" w:type="dxa"/>
            <w:bottom w:w="0" w:type="dxa"/>
            <w:right w:w="108" w:type="dxa"/>
          </w:tblCellMar>
        </w:tblPrEx>
        <w:trPr>
          <w:trHeight w:val="443" w:hRule="atLeast"/>
        </w:trPr>
        <w:tc>
          <w:tcPr>
            <w:tcW w:w="526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年末结转和结余</w:t>
            </w:r>
          </w:p>
        </w:tc>
        <w:tc>
          <w:tcPr>
            <w:tcW w:w="2693"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839.20</w:t>
            </w:r>
          </w:p>
        </w:tc>
        <w:tc>
          <w:tcPr>
            <w:tcW w:w="1721" w:type="dxa"/>
            <w:tcBorders>
              <w:top w:val="nil"/>
              <w:left w:val="nil"/>
              <w:bottom w:val="single" w:color="auto" w:sz="4" w:space="0"/>
              <w:right w:val="single" w:color="auto" w:sz="4" w:space="0"/>
            </w:tcBorders>
            <w:shd w:val="clear" w:color="000000" w:fill="FFFFFF"/>
            <w:noWrap/>
            <w:vAlign w:val="bottom"/>
          </w:tcPr>
          <w:p>
            <w:pPr>
              <w:widowControl/>
              <w:jc w:val="righ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1.72%</w:t>
            </w:r>
          </w:p>
        </w:tc>
      </w:tr>
    </w:tbl>
    <w:p>
      <w:pPr>
        <w:ind w:firstLine="560" w:firstLineChars="200"/>
        <w:rPr>
          <w:color w:val="000000" w:themeColor="text1"/>
          <w:sz w:val="28"/>
          <w:szCs w:val="28"/>
        </w:rPr>
      </w:pPr>
    </w:p>
    <w:p>
      <w:pPr>
        <w:ind w:firstLine="560" w:firstLineChars="200"/>
        <w:jc w:val="right"/>
        <w:rPr>
          <w:color w:val="000000" w:themeColor="text1"/>
          <w:sz w:val="28"/>
          <w:szCs w:val="28"/>
        </w:rPr>
      </w:pPr>
      <w:r>
        <w:rPr>
          <w:rFonts w:hint="eastAsia"/>
          <w:color w:val="000000" w:themeColor="text1"/>
          <w:sz w:val="28"/>
          <w:szCs w:val="28"/>
        </w:rPr>
        <w:t xml:space="preserve"> 表4-2单位：万元</w:t>
      </w:r>
    </w:p>
    <w:p>
      <w:pPr>
        <w:ind w:firstLine="420" w:firstLineChars="200"/>
        <w:rPr>
          <w:color w:val="000000" w:themeColor="text1"/>
          <w:sz w:val="28"/>
          <w:szCs w:val="28"/>
        </w:rPr>
      </w:pPr>
      <w:r>
        <w:rPr>
          <w:color w:val="000000" w:themeColor="text1"/>
        </w:rPr>
        <w:drawing>
          <wp:inline distT="0" distB="0" distL="0" distR="0">
            <wp:extent cx="5890260" cy="3147060"/>
            <wp:effectExtent l="0" t="0" r="15240" b="152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right="420" w:firstLine="560" w:firstLineChars="200"/>
        <w:jc w:val="right"/>
        <w:rPr>
          <w:color w:val="000000" w:themeColor="text1"/>
          <w:sz w:val="28"/>
          <w:szCs w:val="28"/>
        </w:rPr>
      </w:pPr>
      <w:r>
        <w:rPr>
          <w:rFonts w:hint="eastAsia"/>
          <w:color w:val="000000" w:themeColor="text1"/>
          <w:sz w:val="28"/>
          <w:szCs w:val="28"/>
        </w:rPr>
        <w:t>图4-2</w:t>
      </w:r>
    </w:p>
    <w:p>
      <w:pPr>
        <w:ind w:firstLine="562" w:firstLineChars="200"/>
        <w:outlineLvl w:val="1"/>
        <w:rPr>
          <w:b/>
          <w:color w:val="000000" w:themeColor="text1"/>
          <w:sz w:val="28"/>
          <w:szCs w:val="28"/>
        </w:rPr>
      </w:pPr>
      <w:r>
        <w:rPr>
          <w:rFonts w:hint="eastAsia"/>
          <w:b/>
          <w:color w:val="000000" w:themeColor="text1"/>
          <w:sz w:val="28"/>
          <w:szCs w:val="28"/>
        </w:rPr>
        <w:t>（二）2018年度财政拨款收入支出总体情况说明。</w:t>
      </w:r>
    </w:p>
    <w:p>
      <w:pPr>
        <w:ind w:firstLine="560" w:firstLineChars="200"/>
        <w:rPr>
          <w:color w:val="000000" w:themeColor="text1"/>
          <w:sz w:val="28"/>
          <w:szCs w:val="28"/>
        </w:rPr>
      </w:pPr>
      <w:r>
        <w:rPr>
          <w:rFonts w:hint="eastAsia"/>
          <w:color w:val="000000" w:themeColor="text1"/>
          <w:sz w:val="28"/>
          <w:szCs w:val="28"/>
        </w:rPr>
        <w:t>1、财政拨款收入支出总体情况</w:t>
      </w:r>
    </w:p>
    <w:p>
      <w:pPr>
        <w:ind w:firstLine="560" w:firstLineChars="200"/>
        <w:rPr>
          <w:color w:val="000000" w:themeColor="text1"/>
          <w:sz w:val="28"/>
          <w:szCs w:val="28"/>
        </w:rPr>
      </w:pPr>
      <w:r>
        <w:rPr>
          <w:rFonts w:hint="eastAsia"/>
          <w:color w:val="000000" w:themeColor="text1"/>
          <w:sz w:val="28"/>
          <w:szCs w:val="28"/>
        </w:rPr>
        <w:t>本单位2018年财政拨款收支总决算27788.41万元，比2017年财政拨款收支总体减少7443.78万元。主要原因为：2016年财政结转资金较大，计入到2017年财政拨款收支总计，达</w:t>
      </w:r>
      <w:r>
        <w:rPr>
          <w:color w:val="000000" w:themeColor="text1"/>
          <w:sz w:val="28"/>
          <w:szCs w:val="28"/>
        </w:rPr>
        <w:t>7986</w:t>
      </w:r>
      <w:r>
        <w:rPr>
          <w:rFonts w:hint="eastAsia"/>
          <w:color w:val="000000" w:themeColor="text1"/>
          <w:sz w:val="28"/>
          <w:szCs w:val="28"/>
        </w:rPr>
        <w:t>.</w:t>
      </w:r>
      <w:r>
        <w:rPr>
          <w:color w:val="000000" w:themeColor="text1"/>
          <w:sz w:val="28"/>
          <w:szCs w:val="28"/>
        </w:rPr>
        <w:t>3</w:t>
      </w:r>
      <w:r>
        <w:rPr>
          <w:rFonts w:hint="eastAsia"/>
          <w:color w:val="000000" w:themeColor="text1"/>
          <w:sz w:val="28"/>
          <w:szCs w:val="28"/>
        </w:rPr>
        <w:t>0万元，其他影响忽略不计。</w:t>
      </w:r>
    </w:p>
    <w:p>
      <w:pPr>
        <w:ind w:firstLine="560" w:firstLineChars="200"/>
        <w:rPr>
          <w:color w:val="000000" w:themeColor="text1"/>
          <w:sz w:val="28"/>
          <w:szCs w:val="28"/>
        </w:rPr>
      </w:pPr>
      <w:r>
        <w:rPr>
          <w:rFonts w:hint="eastAsia"/>
          <w:color w:val="000000" w:themeColor="text1"/>
          <w:sz w:val="28"/>
          <w:szCs w:val="28"/>
        </w:rPr>
        <w:t xml:space="preserve"> 2、一般公共预算财政拨款支出情况</w:t>
      </w:r>
    </w:p>
    <w:p>
      <w:pPr>
        <w:ind w:firstLine="560" w:firstLineChars="200"/>
        <w:rPr>
          <w:color w:val="000000" w:themeColor="text1"/>
          <w:sz w:val="28"/>
          <w:szCs w:val="28"/>
        </w:rPr>
      </w:pPr>
      <w:r>
        <w:rPr>
          <w:rFonts w:hint="eastAsia"/>
          <w:color w:val="000000" w:themeColor="text1"/>
          <w:sz w:val="28"/>
          <w:szCs w:val="28"/>
        </w:rPr>
        <w:t>一般公共预算财政拨款支出合计</w:t>
      </w:r>
      <w:r>
        <w:rPr>
          <w:color w:val="000000" w:themeColor="text1"/>
          <w:sz w:val="28"/>
          <w:szCs w:val="28"/>
        </w:rPr>
        <w:t>26949.21</w:t>
      </w:r>
      <w:r>
        <w:rPr>
          <w:rFonts w:hint="eastAsia"/>
          <w:color w:val="000000" w:themeColor="text1"/>
          <w:sz w:val="28"/>
          <w:szCs w:val="28"/>
        </w:rPr>
        <w:t>万元，占本年支出合计的55.32%。与上年一般公共预算财政支出相比减少5285.85万元，减少19.61%。主要原因为：2017年一般公共预算财政</w:t>
      </w:r>
      <w:bookmarkStart w:id="0" w:name="_GoBack"/>
      <w:bookmarkEnd w:id="0"/>
      <w:r>
        <w:rPr>
          <w:rFonts w:hint="eastAsia"/>
          <w:color w:val="000000" w:themeColor="text1"/>
          <w:sz w:val="28"/>
          <w:szCs w:val="28"/>
        </w:rPr>
        <w:t>拨款结转较2916年一般公共预算财政拨款结转减少4989.18万元，其他影响为一般公共预算财政拨款专项拨款减少。</w:t>
      </w:r>
    </w:p>
    <w:p>
      <w:pPr>
        <w:ind w:firstLine="560" w:firstLineChars="200"/>
        <w:rPr>
          <w:color w:val="000000" w:themeColor="text1"/>
          <w:sz w:val="28"/>
          <w:szCs w:val="28"/>
        </w:rPr>
      </w:pPr>
      <w:r>
        <w:rPr>
          <w:rFonts w:hint="eastAsia"/>
          <w:color w:val="000000" w:themeColor="text1"/>
          <w:sz w:val="28"/>
          <w:szCs w:val="28"/>
        </w:rPr>
        <w:t>按照政府功能分类科目说明如下：</w:t>
      </w:r>
    </w:p>
    <w:p>
      <w:pPr>
        <w:ind w:firstLine="560" w:firstLineChars="200"/>
        <w:rPr>
          <w:color w:val="000000" w:themeColor="text1"/>
          <w:sz w:val="28"/>
          <w:szCs w:val="28"/>
        </w:rPr>
      </w:pPr>
      <w:r>
        <w:rPr>
          <w:rFonts w:hint="eastAsia"/>
          <w:color w:val="000000" w:themeColor="text1"/>
          <w:sz w:val="28"/>
          <w:szCs w:val="28"/>
        </w:rPr>
        <w:t>1）教育支出（类）</w:t>
      </w:r>
    </w:p>
    <w:p>
      <w:pPr>
        <w:ind w:firstLine="560" w:firstLineChars="200"/>
        <w:rPr>
          <w:color w:val="000000" w:themeColor="text1"/>
          <w:sz w:val="28"/>
          <w:szCs w:val="28"/>
        </w:rPr>
      </w:pPr>
      <w:r>
        <w:rPr>
          <w:rFonts w:hint="eastAsia"/>
          <w:color w:val="000000" w:themeColor="text1"/>
          <w:sz w:val="28"/>
          <w:szCs w:val="28"/>
        </w:rPr>
        <w:t>支出决算26949.21万元，年初安排预算24289.01万元，增加2660.2万元。增加部分为中央支持地方专项拨款、“四个一流”建设专项以及按规定使用上年度生均经费拨款财政结转资金等支出。</w:t>
      </w:r>
    </w:p>
    <w:p>
      <w:pPr>
        <w:ind w:firstLine="560" w:firstLineChars="200"/>
        <w:rPr>
          <w:color w:val="000000" w:themeColor="text1"/>
          <w:sz w:val="28"/>
          <w:szCs w:val="28"/>
        </w:rPr>
      </w:pPr>
      <w:r>
        <w:rPr>
          <w:rFonts w:hint="eastAsia"/>
          <w:color w:val="000000" w:themeColor="text1"/>
          <w:sz w:val="28"/>
          <w:szCs w:val="28"/>
        </w:rPr>
        <w:t>2）社会保障和就业支出（类）</w:t>
      </w:r>
    </w:p>
    <w:p>
      <w:pPr>
        <w:ind w:firstLine="560" w:firstLineChars="200"/>
        <w:rPr>
          <w:color w:val="000000" w:themeColor="text1"/>
          <w:sz w:val="28"/>
          <w:szCs w:val="28"/>
        </w:rPr>
      </w:pPr>
      <w:r>
        <w:rPr>
          <w:rFonts w:hint="eastAsia"/>
          <w:color w:val="000000" w:themeColor="text1"/>
          <w:sz w:val="28"/>
          <w:szCs w:val="28"/>
        </w:rPr>
        <w:t>支出决算365.25万元，年初安排预算313.41万元，增加51.84万元。增加部分为人员正常退休导致的减少，以及政策性调资导致的增加。</w:t>
      </w:r>
    </w:p>
    <w:p>
      <w:pPr>
        <w:ind w:firstLine="560" w:firstLineChars="200"/>
        <w:rPr>
          <w:color w:val="000000" w:themeColor="text1"/>
          <w:sz w:val="28"/>
          <w:szCs w:val="28"/>
        </w:rPr>
      </w:pPr>
      <w:r>
        <w:rPr>
          <w:rFonts w:hint="eastAsia"/>
          <w:color w:val="000000" w:themeColor="text1"/>
          <w:sz w:val="28"/>
          <w:szCs w:val="28"/>
        </w:rPr>
        <w:t>3）医疗卫生与计划生育支出（类）</w:t>
      </w:r>
    </w:p>
    <w:p>
      <w:pPr>
        <w:ind w:firstLine="560" w:firstLineChars="200"/>
        <w:rPr>
          <w:color w:val="000000" w:themeColor="text1"/>
          <w:sz w:val="28"/>
          <w:szCs w:val="28"/>
        </w:rPr>
      </w:pPr>
      <w:r>
        <w:rPr>
          <w:rFonts w:hint="eastAsia"/>
          <w:color w:val="000000" w:themeColor="text1"/>
          <w:sz w:val="28"/>
          <w:szCs w:val="28"/>
        </w:rPr>
        <w:t>支出决算1055.01万元，年初安排预算为0万元，增加</w:t>
      </w:r>
      <w:r>
        <w:rPr>
          <w:color w:val="000000" w:themeColor="text1"/>
          <w:sz w:val="28"/>
          <w:szCs w:val="28"/>
        </w:rPr>
        <w:t>1055.01</w:t>
      </w:r>
      <w:r>
        <w:rPr>
          <w:rFonts w:hint="eastAsia"/>
          <w:color w:val="000000" w:themeColor="text1"/>
          <w:sz w:val="28"/>
          <w:szCs w:val="28"/>
        </w:rPr>
        <w:t>万元。增加部分为事业单位医疗款349.01万元，其他</w:t>
      </w:r>
      <w:r>
        <w:rPr>
          <w:color w:val="000000" w:themeColor="text1"/>
          <w:sz w:val="28"/>
          <w:szCs w:val="28"/>
        </w:rPr>
        <w:t>706.00</w:t>
      </w:r>
      <w:r>
        <w:rPr>
          <w:rFonts w:hint="eastAsia"/>
          <w:color w:val="000000" w:themeColor="text1"/>
          <w:sz w:val="28"/>
          <w:szCs w:val="28"/>
        </w:rPr>
        <w:t>万元为全科医学生免学费款及助学金、全科医生转岗培训，助理全科医生培训专项支出。</w:t>
      </w:r>
    </w:p>
    <w:p>
      <w:pPr>
        <w:ind w:firstLine="560" w:firstLineChars="200"/>
        <w:rPr>
          <w:color w:val="000000" w:themeColor="text1"/>
          <w:sz w:val="28"/>
          <w:szCs w:val="28"/>
        </w:rPr>
      </w:pPr>
      <w:r>
        <w:rPr>
          <w:rFonts w:hint="eastAsia"/>
          <w:color w:val="000000" w:themeColor="text1"/>
          <w:sz w:val="28"/>
          <w:szCs w:val="28"/>
        </w:rPr>
        <w:t>4）住房保障支出（类）</w:t>
      </w:r>
    </w:p>
    <w:p>
      <w:pPr>
        <w:ind w:firstLine="560" w:firstLineChars="200"/>
        <w:rPr>
          <w:color w:val="000000" w:themeColor="text1"/>
          <w:sz w:val="28"/>
          <w:szCs w:val="28"/>
        </w:rPr>
      </w:pPr>
      <w:r>
        <w:rPr>
          <w:rFonts w:hint="eastAsia"/>
          <w:color w:val="000000" w:themeColor="text1"/>
          <w:sz w:val="28"/>
          <w:szCs w:val="28"/>
        </w:rPr>
        <w:t>支出决算322.28万元，年初安排预算322.28万元，增加0万元。</w:t>
      </w:r>
    </w:p>
    <w:tbl>
      <w:tblPr>
        <w:tblStyle w:val="5"/>
        <w:tblW w:w="10091" w:type="dxa"/>
        <w:tblInd w:w="93" w:type="dxa"/>
        <w:tblLayout w:type="autofit"/>
        <w:tblCellMar>
          <w:top w:w="0" w:type="dxa"/>
          <w:left w:w="108" w:type="dxa"/>
          <w:bottom w:w="0" w:type="dxa"/>
          <w:right w:w="108" w:type="dxa"/>
        </w:tblCellMar>
      </w:tblPr>
      <w:tblGrid>
        <w:gridCol w:w="3984"/>
        <w:gridCol w:w="2127"/>
        <w:gridCol w:w="1984"/>
        <w:gridCol w:w="1996"/>
      </w:tblGrid>
      <w:tr>
        <w:tblPrEx>
          <w:tblCellMar>
            <w:top w:w="0" w:type="dxa"/>
            <w:left w:w="108" w:type="dxa"/>
            <w:bottom w:w="0" w:type="dxa"/>
            <w:right w:w="108" w:type="dxa"/>
          </w:tblCellMar>
        </w:tblPrEx>
        <w:trPr>
          <w:trHeight w:val="558" w:hRule="atLeast"/>
        </w:trPr>
        <w:tc>
          <w:tcPr>
            <w:tcW w:w="10091" w:type="dxa"/>
            <w:gridSpan w:val="4"/>
            <w:tcBorders>
              <w:top w:val="nil"/>
              <w:left w:val="nil"/>
              <w:bottom w:val="nil"/>
              <w:right w:val="nil"/>
            </w:tcBorders>
            <w:shd w:val="clear" w:color="auto" w:fill="auto"/>
            <w:noWrap/>
            <w:vAlign w:val="bottom"/>
          </w:tcPr>
          <w:p>
            <w:pPr>
              <w:widowControl/>
              <w:jc w:val="center"/>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2018年度一般公共预算财政拨款支出情况表</w:t>
            </w:r>
          </w:p>
        </w:tc>
      </w:tr>
      <w:tr>
        <w:tblPrEx>
          <w:tblCellMar>
            <w:top w:w="0" w:type="dxa"/>
            <w:left w:w="108" w:type="dxa"/>
            <w:bottom w:w="0" w:type="dxa"/>
            <w:right w:w="108" w:type="dxa"/>
          </w:tblCellMar>
        </w:tblPrEx>
        <w:trPr>
          <w:trHeight w:val="558" w:hRule="atLeast"/>
        </w:trPr>
        <w:tc>
          <w:tcPr>
            <w:tcW w:w="398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政府功能分类</w:t>
            </w:r>
          </w:p>
        </w:tc>
        <w:tc>
          <w:tcPr>
            <w:tcW w:w="212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年初预算</w:t>
            </w:r>
          </w:p>
        </w:tc>
        <w:tc>
          <w:tcPr>
            <w:tcW w:w="198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决算</w:t>
            </w:r>
          </w:p>
        </w:tc>
        <w:tc>
          <w:tcPr>
            <w:tcW w:w="199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差额</w:t>
            </w:r>
          </w:p>
        </w:tc>
      </w:tr>
      <w:tr>
        <w:tblPrEx>
          <w:tblCellMar>
            <w:top w:w="0" w:type="dxa"/>
            <w:left w:w="108" w:type="dxa"/>
            <w:bottom w:w="0" w:type="dxa"/>
            <w:right w:w="108" w:type="dxa"/>
          </w:tblCellMar>
        </w:tblPrEx>
        <w:trPr>
          <w:trHeight w:val="558" w:hRule="atLeast"/>
        </w:trPr>
        <w:tc>
          <w:tcPr>
            <w:tcW w:w="39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教育支出</w:t>
            </w:r>
          </w:p>
        </w:tc>
        <w:tc>
          <w:tcPr>
            <w:tcW w:w="212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8714.39</w:t>
            </w:r>
          </w:p>
        </w:tc>
        <w:tc>
          <w:tcPr>
            <w:tcW w:w="198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26949.21</w:t>
            </w:r>
          </w:p>
        </w:tc>
        <w:tc>
          <w:tcPr>
            <w:tcW w:w="19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18234.82</w:t>
            </w:r>
          </w:p>
        </w:tc>
      </w:tr>
      <w:tr>
        <w:tblPrEx>
          <w:tblCellMar>
            <w:top w:w="0" w:type="dxa"/>
            <w:left w:w="108" w:type="dxa"/>
            <w:bottom w:w="0" w:type="dxa"/>
            <w:right w:w="108" w:type="dxa"/>
          </w:tblCellMar>
        </w:tblPrEx>
        <w:trPr>
          <w:trHeight w:val="558" w:hRule="atLeast"/>
        </w:trPr>
        <w:tc>
          <w:tcPr>
            <w:tcW w:w="39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社会保障和就业支出</w:t>
            </w:r>
          </w:p>
        </w:tc>
        <w:tc>
          <w:tcPr>
            <w:tcW w:w="212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313.41</w:t>
            </w:r>
          </w:p>
        </w:tc>
        <w:tc>
          <w:tcPr>
            <w:tcW w:w="198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365.25</w:t>
            </w:r>
          </w:p>
        </w:tc>
        <w:tc>
          <w:tcPr>
            <w:tcW w:w="19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51.84</w:t>
            </w:r>
          </w:p>
        </w:tc>
      </w:tr>
      <w:tr>
        <w:tblPrEx>
          <w:tblCellMar>
            <w:top w:w="0" w:type="dxa"/>
            <w:left w:w="108" w:type="dxa"/>
            <w:bottom w:w="0" w:type="dxa"/>
            <w:right w:w="108" w:type="dxa"/>
          </w:tblCellMar>
        </w:tblPrEx>
        <w:trPr>
          <w:trHeight w:val="558" w:hRule="atLeast"/>
        </w:trPr>
        <w:tc>
          <w:tcPr>
            <w:tcW w:w="39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医疗卫生与计划生育支出</w:t>
            </w:r>
          </w:p>
        </w:tc>
        <w:tc>
          <w:tcPr>
            <w:tcW w:w="212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0</w:t>
            </w:r>
          </w:p>
        </w:tc>
        <w:tc>
          <w:tcPr>
            <w:tcW w:w="198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1055.01</w:t>
            </w:r>
          </w:p>
        </w:tc>
        <w:tc>
          <w:tcPr>
            <w:tcW w:w="19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1055.01</w:t>
            </w:r>
          </w:p>
        </w:tc>
      </w:tr>
      <w:tr>
        <w:tblPrEx>
          <w:tblCellMar>
            <w:top w:w="0" w:type="dxa"/>
            <w:left w:w="108" w:type="dxa"/>
            <w:bottom w:w="0" w:type="dxa"/>
            <w:right w:w="108" w:type="dxa"/>
          </w:tblCellMar>
        </w:tblPrEx>
        <w:trPr>
          <w:trHeight w:val="558" w:hRule="atLeast"/>
        </w:trPr>
        <w:tc>
          <w:tcPr>
            <w:tcW w:w="39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住房保障支出</w:t>
            </w:r>
          </w:p>
        </w:tc>
        <w:tc>
          <w:tcPr>
            <w:tcW w:w="212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322.28</w:t>
            </w:r>
          </w:p>
        </w:tc>
        <w:tc>
          <w:tcPr>
            <w:tcW w:w="198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322.28</w:t>
            </w:r>
          </w:p>
        </w:tc>
        <w:tc>
          <w:tcPr>
            <w:tcW w:w="19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0</w:t>
            </w:r>
          </w:p>
        </w:tc>
      </w:tr>
    </w:tbl>
    <w:p>
      <w:pPr>
        <w:ind w:right="280" w:firstLine="560" w:firstLineChars="200"/>
        <w:jc w:val="right"/>
        <w:rPr>
          <w:color w:val="000000" w:themeColor="text1"/>
          <w:sz w:val="28"/>
          <w:szCs w:val="28"/>
        </w:rPr>
      </w:pPr>
      <w:r>
        <w:rPr>
          <w:rFonts w:hint="eastAsia"/>
          <w:color w:val="000000" w:themeColor="text1"/>
          <w:sz w:val="28"/>
          <w:szCs w:val="28"/>
        </w:rPr>
        <w:t>表4-3单位：万元</w:t>
      </w:r>
    </w:p>
    <w:p>
      <w:pPr>
        <w:ind w:firstLine="560" w:firstLineChars="200"/>
        <w:rPr>
          <w:color w:val="000000" w:themeColor="text1"/>
          <w:sz w:val="28"/>
          <w:szCs w:val="28"/>
        </w:rPr>
      </w:pPr>
    </w:p>
    <w:p>
      <w:pPr>
        <w:ind w:firstLine="420" w:firstLineChars="200"/>
        <w:jc w:val="right"/>
        <w:rPr>
          <w:color w:val="000000" w:themeColor="text1"/>
          <w:sz w:val="28"/>
          <w:szCs w:val="28"/>
        </w:rPr>
      </w:pPr>
      <w:r>
        <w:rPr>
          <w:color w:val="000000" w:themeColor="text1"/>
        </w:rPr>
        <w:drawing>
          <wp:inline distT="0" distB="0" distL="0" distR="0">
            <wp:extent cx="6017895" cy="3891280"/>
            <wp:effectExtent l="0" t="0" r="20955"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560" w:firstLineChars="200"/>
        <w:jc w:val="right"/>
        <w:rPr>
          <w:color w:val="000000" w:themeColor="text1"/>
          <w:sz w:val="28"/>
          <w:szCs w:val="28"/>
        </w:rPr>
      </w:pPr>
      <w:r>
        <w:rPr>
          <w:rFonts w:hint="eastAsia"/>
          <w:color w:val="000000" w:themeColor="text1"/>
          <w:sz w:val="28"/>
          <w:szCs w:val="28"/>
        </w:rPr>
        <w:t>图4-3</w:t>
      </w:r>
    </w:p>
    <w:p>
      <w:pPr>
        <w:ind w:firstLine="560" w:firstLineChars="200"/>
        <w:rPr>
          <w:color w:val="000000" w:themeColor="text1"/>
          <w:sz w:val="28"/>
          <w:szCs w:val="28"/>
        </w:rPr>
      </w:pPr>
      <w:r>
        <w:rPr>
          <w:rFonts w:hint="eastAsia"/>
          <w:color w:val="000000" w:themeColor="text1"/>
          <w:sz w:val="28"/>
          <w:szCs w:val="28"/>
        </w:rPr>
        <w:t>3、一般公共预算财政拨款基本支出决算情况</w:t>
      </w:r>
    </w:p>
    <w:p>
      <w:pPr>
        <w:ind w:firstLine="560" w:firstLineChars="200"/>
        <w:rPr>
          <w:color w:val="000000" w:themeColor="text1"/>
          <w:sz w:val="28"/>
          <w:szCs w:val="28"/>
        </w:rPr>
      </w:pPr>
      <w:r>
        <w:rPr>
          <w:rFonts w:hint="eastAsia"/>
          <w:color w:val="000000" w:themeColor="text1"/>
          <w:sz w:val="28"/>
          <w:szCs w:val="28"/>
        </w:rPr>
        <w:t>本单位2018年度一般公共预算财政拨款基本支出9418.54万元，其中：</w:t>
      </w:r>
    </w:p>
    <w:p>
      <w:pPr>
        <w:ind w:firstLine="560" w:firstLineChars="200"/>
        <w:rPr>
          <w:color w:val="000000" w:themeColor="text1"/>
          <w:sz w:val="28"/>
          <w:szCs w:val="28"/>
        </w:rPr>
      </w:pPr>
      <w:r>
        <w:rPr>
          <w:rFonts w:hint="eastAsia"/>
          <w:color w:val="000000" w:themeColor="text1"/>
          <w:sz w:val="28"/>
          <w:szCs w:val="28"/>
        </w:rPr>
        <w:t>1）人员经费8545.53万元。主要包括：基本工资、津贴补贴、社会保障缴费、绩效工资、机关事业单位基本养老保险缴费、其他工资福利支出、离休费、退休费、抚恤金、医疗费、奖助学金、住房公积金、其他队个人和家庭的补助支出等。</w:t>
      </w:r>
    </w:p>
    <w:p>
      <w:pPr>
        <w:ind w:firstLine="560" w:firstLineChars="200"/>
        <w:rPr>
          <w:color w:val="000000" w:themeColor="text1"/>
          <w:sz w:val="28"/>
          <w:szCs w:val="28"/>
        </w:rPr>
      </w:pPr>
      <w:r>
        <w:rPr>
          <w:rFonts w:hint="eastAsia"/>
          <w:color w:val="000000" w:themeColor="text1"/>
          <w:sz w:val="28"/>
          <w:szCs w:val="28"/>
        </w:rPr>
        <w:t>2）公用经费873.01万元。主要包括：办公费、印刷费、水费、物业费、邮电费、办公取暖费、差旅费、公务用车费、维修（护）费、公务接待费、电费、劳务费、委托业务费、其他商品和服务支出等。</w:t>
      </w:r>
    </w:p>
    <w:p>
      <w:pPr>
        <w:ind w:firstLine="560" w:firstLineChars="200"/>
        <w:rPr>
          <w:color w:val="000000" w:themeColor="text1"/>
          <w:sz w:val="28"/>
          <w:szCs w:val="28"/>
        </w:rPr>
      </w:pPr>
      <w:r>
        <w:rPr>
          <w:rFonts w:hint="eastAsia"/>
          <w:color w:val="000000" w:themeColor="text1"/>
          <w:sz w:val="28"/>
          <w:szCs w:val="28"/>
        </w:rPr>
        <w:t>4、政府性基金财政拨款手指情况说明</w:t>
      </w:r>
    </w:p>
    <w:p>
      <w:pPr>
        <w:ind w:firstLine="560" w:firstLineChars="200"/>
        <w:rPr>
          <w:color w:val="000000" w:themeColor="text1"/>
          <w:sz w:val="28"/>
          <w:szCs w:val="28"/>
        </w:rPr>
      </w:pPr>
      <w:r>
        <w:rPr>
          <w:rFonts w:hint="eastAsia"/>
          <w:color w:val="000000" w:themeColor="text1"/>
          <w:sz w:val="28"/>
          <w:szCs w:val="28"/>
        </w:rPr>
        <w:t>本单位无政府性基金决算手指，并已公开空表。</w:t>
      </w:r>
    </w:p>
    <w:p>
      <w:pPr>
        <w:ind w:firstLine="560" w:firstLineChars="200"/>
        <w:rPr>
          <w:color w:val="000000" w:themeColor="text1"/>
          <w:sz w:val="28"/>
          <w:szCs w:val="28"/>
        </w:rPr>
      </w:pPr>
      <w:r>
        <w:rPr>
          <w:rFonts w:hint="eastAsia"/>
          <w:color w:val="000000" w:themeColor="text1"/>
          <w:sz w:val="28"/>
          <w:szCs w:val="28"/>
        </w:rPr>
        <w:t>5、国有资产经营财政拨款收支情况说明</w:t>
      </w:r>
    </w:p>
    <w:p>
      <w:pPr>
        <w:ind w:firstLine="560" w:firstLineChars="200"/>
        <w:rPr>
          <w:color w:val="000000" w:themeColor="text1"/>
          <w:sz w:val="28"/>
          <w:szCs w:val="28"/>
        </w:rPr>
      </w:pPr>
      <w:r>
        <w:rPr>
          <w:rFonts w:hint="eastAsia"/>
          <w:color w:val="000000" w:themeColor="text1"/>
          <w:sz w:val="28"/>
          <w:szCs w:val="28"/>
        </w:rPr>
        <w:t>本单位无国有资产经营决算拨款收支。</w:t>
      </w:r>
    </w:p>
    <w:p>
      <w:pPr>
        <w:ind w:firstLine="562" w:firstLineChars="200"/>
        <w:outlineLvl w:val="1"/>
        <w:rPr>
          <w:b/>
          <w:color w:val="000000" w:themeColor="text1"/>
          <w:sz w:val="28"/>
          <w:szCs w:val="28"/>
        </w:rPr>
      </w:pPr>
      <w:r>
        <w:rPr>
          <w:rFonts w:hint="eastAsia"/>
          <w:b/>
          <w:color w:val="000000" w:themeColor="text1"/>
          <w:sz w:val="28"/>
          <w:szCs w:val="28"/>
        </w:rPr>
        <w:t>（三）2018年度“三公”经费、培训费及会议费支出情况说明。</w:t>
      </w:r>
    </w:p>
    <w:p>
      <w:pPr>
        <w:ind w:firstLine="560" w:firstLineChars="200"/>
        <w:rPr>
          <w:color w:val="000000" w:themeColor="text1"/>
          <w:sz w:val="28"/>
          <w:szCs w:val="28"/>
        </w:rPr>
      </w:pPr>
      <w:r>
        <w:rPr>
          <w:rFonts w:hint="eastAsia"/>
          <w:color w:val="000000" w:themeColor="text1"/>
          <w:sz w:val="28"/>
          <w:szCs w:val="28"/>
        </w:rPr>
        <w:t>1、“三公”经费财政拨款支出总体情况说明。</w:t>
      </w:r>
    </w:p>
    <w:p>
      <w:pPr>
        <w:ind w:firstLine="560" w:firstLineChars="200"/>
        <w:rPr>
          <w:color w:val="000000" w:themeColor="text1"/>
          <w:sz w:val="28"/>
          <w:szCs w:val="28"/>
        </w:rPr>
      </w:pPr>
      <w:r>
        <w:rPr>
          <w:rFonts w:hint="eastAsia"/>
          <w:color w:val="000000" w:themeColor="text1"/>
          <w:sz w:val="28"/>
          <w:szCs w:val="28"/>
        </w:rPr>
        <w:t>（1）“三公”经费支出情况</w:t>
      </w:r>
    </w:p>
    <w:p>
      <w:pPr>
        <w:ind w:firstLine="560" w:firstLineChars="200"/>
        <w:rPr>
          <w:color w:val="000000" w:themeColor="text1"/>
          <w:sz w:val="28"/>
          <w:szCs w:val="28"/>
        </w:rPr>
      </w:pPr>
      <w:r>
        <w:rPr>
          <w:rFonts w:hint="eastAsia"/>
          <w:color w:val="000000" w:themeColor="text1"/>
          <w:sz w:val="28"/>
          <w:szCs w:val="28"/>
        </w:rPr>
        <w:t>2018年 “三公”经费年初预算支出总额75万元，财政拨款实际支出80.2万元，其中，因公出国（境）支出年初预算数为5万元，实际支出5万元，无结余；公务用车购置及运行维护费支出年初预算数为40万元，实际支出45万元，无结余；公务接待费支出年初预算数为30万元，实际支出30万元，无结余。</w:t>
      </w:r>
    </w:p>
    <w:p>
      <w:pPr>
        <w:ind w:firstLine="560" w:firstLineChars="200"/>
        <w:jc w:val="center"/>
        <w:rPr>
          <w:color w:val="000000" w:themeColor="text1"/>
          <w:sz w:val="28"/>
          <w:szCs w:val="28"/>
        </w:rPr>
      </w:pPr>
      <w:r>
        <w:rPr>
          <w:rFonts w:hint="eastAsia"/>
          <w:color w:val="000000" w:themeColor="text1"/>
          <w:sz w:val="28"/>
          <w:szCs w:val="28"/>
        </w:rPr>
        <w:t>一般公共预算安排“三公”经费决算结构表</w:t>
      </w:r>
    </w:p>
    <w:tbl>
      <w:tblPr>
        <w:tblStyle w:val="5"/>
        <w:tblpPr w:leftFromText="180" w:rightFromText="180" w:vertAnchor="text" w:horzAnchor="margin" w:tblpXSpec="center" w:tblpY="219"/>
        <w:tblW w:w="9018" w:type="dxa"/>
        <w:tblInd w:w="0" w:type="dxa"/>
        <w:tblLayout w:type="autofit"/>
        <w:tblCellMar>
          <w:top w:w="0" w:type="dxa"/>
          <w:left w:w="108" w:type="dxa"/>
          <w:bottom w:w="0" w:type="dxa"/>
          <w:right w:w="108" w:type="dxa"/>
        </w:tblCellMar>
      </w:tblPr>
      <w:tblGrid>
        <w:gridCol w:w="4509"/>
        <w:gridCol w:w="4509"/>
      </w:tblGrid>
      <w:tr>
        <w:tblPrEx>
          <w:tblCellMar>
            <w:top w:w="0" w:type="dxa"/>
            <w:left w:w="108" w:type="dxa"/>
            <w:bottom w:w="0" w:type="dxa"/>
            <w:right w:w="108" w:type="dxa"/>
          </w:tblCellMar>
        </w:tblPrEx>
        <w:trPr>
          <w:trHeight w:val="441" w:hRule="atLeast"/>
        </w:trPr>
        <w:tc>
          <w:tcPr>
            <w:tcW w:w="4509" w:type="dxa"/>
            <w:tcBorders>
              <w:top w:val="single" w:color="auto" w:sz="8" w:space="0"/>
              <w:left w:val="single" w:color="auto" w:sz="8" w:space="0"/>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项目</w:t>
            </w:r>
          </w:p>
        </w:tc>
        <w:tc>
          <w:tcPr>
            <w:tcW w:w="4509" w:type="dxa"/>
            <w:tcBorders>
              <w:top w:val="single" w:color="auto" w:sz="8" w:space="0"/>
              <w:left w:val="nil"/>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决算数</w:t>
            </w:r>
          </w:p>
        </w:tc>
      </w:tr>
      <w:tr>
        <w:tblPrEx>
          <w:tblCellMar>
            <w:top w:w="0" w:type="dxa"/>
            <w:left w:w="108" w:type="dxa"/>
            <w:bottom w:w="0" w:type="dxa"/>
            <w:right w:w="108" w:type="dxa"/>
          </w:tblCellMar>
        </w:tblPrEx>
        <w:trPr>
          <w:trHeight w:val="441" w:hRule="atLeast"/>
        </w:trPr>
        <w:tc>
          <w:tcPr>
            <w:tcW w:w="4509" w:type="dxa"/>
            <w:tcBorders>
              <w:top w:val="nil"/>
              <w:left w:val="single" w:color="auto" w:sz="8" w:space="0"/>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1、因公出国（境）费</w:t>
            </w:r>
          </w:p>
        </w:tc>
        <w:tc>
          <w:tcPr>
            <w:tcW w:w="4509" w:type="dxa"/>
            <w:tcBorders>
              <w:top w:val="nil"/>
              <w:left w:val="nil"/>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5.00</w:t>
            </w:r>
          </w:p>
        </w:tc>
      </w:tr>
      <w:tr>
        <w:tblPrEx>
          <w:tblCellMar>
            <w:top w:w="0" w:type="dxa"/>
            <w:left w:w="108" w:type="dxa"/>
            <w:bottom w:w="0" w:type="dxa"/>
            <w:right w:w="108" w:type="dxa"/>
          </w:tblCellMar>
        </w:tblPrEx>
        <w:trPr>
          <w:trHeight w:val="441" w:hRule="atLeast"/>
        </w:trPr>
        <w:tc>
          <w:tcPr>
            <w:tcW w:w="4509" w:type="dxa"/>
            <w:tcBorders>
              <w:top w:val="nil"/>
              <w:left w:val="single" w:color="auto" w:sz="8" w:space="0"/>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2、公务用车购置及运行维护费</w:t>
            </w:r>
          </w:p>
        </w:tc>
        <w:tc>
          <w:tcPr>
            <w:tcW w:w="4509" w:type="dxa"/>
            <w:tcBorders>
              <w:top w:val="nil"/>
              <w:left w:val="nil"/>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40.00</w:t>
            </w:r>
          </w:p>
        </w:tc>
      </w:tr>
      <w:tr>
        <w:tblPrEx>
          <w:tblCellMar>
            <w:top w:w="0" w:type="dxa"/>
            <w:left w:w="108" w:type="dxa"/>
            <w:bottom w:w="0" w:type="dxa"/>
            <w:right w:w="108" w:type="dxa"/>
          </w:tblCellMar>
        </w:tblPrEx>
        <w:trPr>
          <w:trHeight w:val="441" w:hRule="atLeast"/>
        </w:trPr>
        <w:tc>
          <w:tcPr>
            <w:tcW w:w="4509" w:type="dxa"/>
            <w:tcBorders>
              <w:top w:val="nil"/>
              <w:left w:val="single" w:color="auto" w:sz="8" w:space="0"/>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3、公务接待费</w:t>
            </w:r>
          </w:p>
        </w:tc>
        <w:tc>
          <w:tcPr>
            <w:tcW w:w="4509" w:type="dxa"/>
            <w:tcBorders>
              <w:top w:val="nil"/>
              <w:left w:val="nil"/>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30.00</w:t>
            </w:r>
          </w:p>
        </w:tc>
      </w:tr>
      <w:tr>
        <w:tblPrEx>
          <w:tblCellMar>
            <w:top w:w="0" w:type="dxa"/>
            <w:left w:w="108" w:type="dxa"/>
            <w:bottom w:w="0" w:type="dxa"/>
            <w:right w:w="108" w:type="dxa"/>
          </w:tblCellMar>
        </w:tblPrEx>
        <w:trPr>
          <w:trHeight w:val="441" w:hRule="atLeast"/>
        </w:trPr>
        <w:tc>
          <w:tcPr>
            <w:tcW w:w="4509" w:type="dxa"/>
            <w:tcBorders>
              <w:top w:val="nil"/>
              <w:left w:val="single" w:color="auto" w:sz="8" w:space="0"/>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支出合计</w:t>
            </w:r>
          </w:p>
        </w:tc>
        <w:tc>
          <w:tcPr>
            <w:tcW w:w="4509" w:type="dxa"/>
            <w:tcBorders>
              <w:top w:val="nil"/>
              <w:left w:val="nil"/>
              <w:bottom w:val="single" w:color="auto" w:sz="8" w:space="0"/>
              <w:right w:val="single" w:color="auto" w:sz="8" w:space="0"/>
            </w:tcBorders>
            <w:shd w:val="clear" w:color="auto" w:fill="auto"/>
            <w:noWrap/>
            <w:vAlign w:val="center"/>
          </w:tcPr>
          <w:p>
            <w:pPr>
              <w:ind w:firstLine="560" w:firstLineChars="200"/>
              <w:rPr>
                <w:color w:val="000000" w:themeColor="text1"/>
                <w:sz w:val="28"/>
                <w:szCs w:val="28"/>
              </w:rPr>
            </w:pPr>
            <w:r>
              <w:rPr>
                <w:rFonts w:hint="eastAsia"/>
                <w:color w:val="000000" w:themeColor="text1"/>
                <w:sz w:val="28"/>
                <w:szCs w:val="28"/>
              </w:rPr>
              <w:t>75.00</w:t>
            </w:r>
          </w:p>
        </w:tc>
      </w:tr>
    </w:tbl>
    <w:p>
      <w:pPr>
        <w:ind w:firstLine="560" w:firstLineChars="200"/>
        <w:jc w:val="right"/>
        <w:rPr>
          <w:color w:val="000000" w:themeColor="text1"/>
          <w:sz w:val="28"/>
          <w:szCs w:val="28"/>
        </w:rPr>
      </w:pPr>
      <w:r>
        <w:rPr>
          <w:rFonts w:hint="eastAsia"/>
          <w:color w:val="000000" w:themeColor="text1"/>
          <w:sz w:val="28"/>
          <w:szCs w:val="28"/>
        </w:rPr>
        <w:t>表4-4单位：万元</w:t>
      </w:r>
    </w:p>
    <w:p>
      <w:pPr>
        <w:ind w:firstLine="560" w:firstLineChars="200"/>
        <w:rPr>
          <w:color w:val="000000" w:themeColor="text1"/>
          <w:sz w:val="28"/>
          <w:szCs w:val="28"/>
        </w:rPr>
      </w:pPr>
      <w:r>
        <w:rPr>
          <w:rFonts w:hint="eastAsia"/>
          <w:color w:val="000000" w:themeColor="text1"/>
          <w:sz w:val="28"/>
          <w:szCs w:val="28"/>
        </w:rPr>
        <w:t>2018年比2017年“三公”经费支出减少5.2万元。主要是八项规定出台后，学校厉行节约，加强公务用车管理，同时大部分车辆进行了公车改革，严控公务出国（境），规范接待标准，不断缩减“三公”经费。</w:t>
      </w:r>
    </w:p>
    <w:tbl>
      <w:tblPr>
        <w:tblStyle w:val="5"/>
        <w:tblW w:w="20694" w:type="dxa"/>
        <w:tblInd w:w="108" w:type="dxa"/>
        <w:tblLayout w:type="autofit"/>
        <w:tblCellMar>
          <w:top w:w="0" w:type="dxa"/>
          <w:left w:w="108" w:type="dxa"/>
          <w:bottom w:w="0" w:type="dxa"/>
          <w:right w:w="108" w:type="dxa"/>
        </w:tblCellMar>
      </w:tblPr>
      <w:tblGrid>
        <w:gridCol w:w="9606"/>
        <w:gridCol w:w="3696"/>
        <w:gridCol w:w="3696"/>
        <w:gridCol w:w="3696"/>
      </w:tblGrid>
      <w:tr>
        <w:tblPrEx>
          <w:tblCellMar>
            <w:top w:w="0" w:type="dxa"/>
            <w:left w:w="108" w:type="dxa"/>
            <w:bottom w:w="0" w:type="dxa"/>
            <w:right w:w="108" w:type="dxa"/>
          </w:tblCellMar>
        </w:tblPrEx>
        <w:trPr>
          <w:trHeight w:val="270" w:hRule="atLeast"/>
        </w:trPr>
        <w:tc>
          <w:tcPr>
            <w:tcW w:w="960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c>
          <w:tcPr>
            <w:tcW w:w="36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c>
          <w:tcPr>
            <w:tcW w:w="36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c>
          <w:tcPr>
            <w:tcW w:w="36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270" w:hRule="atLeast"/>
        </w:trPr>
        <w:tc>
          <w:tcPr>
            <w:tcW w:w="9606" w:type="dxa"/>
            <w:tcBorders>
              <w:top w:val="nil"/>
              <w:left w:val="nil"/>
              <w:bottom w:val="nil"/>
              <w:right w:val="nil"/>
            </w:tcBorders>
            <w:shd w:val="clear" w:color="auto" w:fill="auto"/>
            <w:noWrap/>
            <w:vAlign w:val="bottom"/>
          </w:tcPr>
          <w:tbl>
            <w:tblPr>
              <w:tblStyle w:val="5"/>
              <w:tblW w:w="9390" w:type="dxa"/>
              <w:tblInd w:w="0" w:type="dxa"/>
              <w:tblLayout w:type="autofit"/>
              <w:tblCellMar>
                <w:top w:w="0" w:type="dxa"/>
                <w:left w:w="108" w:type="dxa"/>
                <w:bottom w:w="0" w:type="dxa"/>
                <w:right w:w="108" w:type="dxa"/>
              </w:tblCellMar>
            </w:tblPr>
            <w:tblGrid>
              <w:gridCol w:w="3861"/>
              <w:gridCol w:w="1843"/>
              <w:gridCol w:w="1701"/>
              <w:gridCol w:w="1985"/>
            </w:tblGrid>
            <w:tr>
              <w:tblPrEx>
                <w:tblCellMar>
                  <w:top w:w="0" w:type="dxa"/>
                  <w:left w:w="108" w:type="dxa"/>
                  <w:bottom w:w="0" w:type="dxa"/>
                  <w:right w:w="108" w:type="dxa"/>
                </w:tblCellMar>
              </w:tblPrEx>
              <w:trPr>
                <w:trHeight w:val="270" w:hRule="atLeast"/>
              </w:trPr>
              <w:tc>
                <w:tcPr>
                  <w:tcW w:w="9390" w:type="dxa"/>
                  <w:gridSpan w:val="4"/>
                  <w:tcBorders>
                    <w:top w:val="nil"/>
                    <w:left w:val="nil"/>
                    <w:bottom w:val="single" w:color="auto" w:sz="4" w:space="0"/>
                    <w:right w:val="nil"/>
                  </w:tcBorders>
                  <w:shd w:val="clear" w:color="auto" w:fill="auto"/>
                  <w:noWrap/>
                  <w:vAlign w:val="bottom"/>
                </w:tcPr>
                <w:p>
                  <w:pPr>
                    <w:widowControl/>
                    <w:jc w:val="center"/>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                 “三公”经费上下年对比分析表    单位：万元</w:t>
                  </w:r>
                </w:p>
              </w:tc>
            </w:tr>
            <w:tr>
              <w:tblPrEx>
                <w:tblCellMar>
                  <w:top w:w="0" w:type="dxa"/>
                  <w:left w:w="108" w:type="dxa"/>
                  <w:bottom w:w="0" w:type="dxa"/>
                  <w:right w:w="108" w:type="dxa"/>
                </w:tblCellMar>
              </w:tblPrEx>
              <w:trPr>
                <w:trHeight w:val="270" w:hRule="atLeast"/>
              </w:trPr>
              <w:tc>
                <w:tcPr>
                  <w:tcW w:w="38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项目</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2017年</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2018年</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差异额</w:t>
                  </w:r>
                </w:p>
              </w:tc>
            </w:tr>
            <w:tr>
              <w:tblPrEx>
                <w:tblCellMar>
                  <w:top w:w="0" w:type="dxa"/>
                  <w:left w:w="108" w:type="dxa"/>
                  <w:bottom w:w="0" w:type="dxa"/>
                  <w:right w:w="108" w:type="dxa"/>
                </w:tblCellMar>
              </w:tblPrEx>
              <w:trPr>
                <w:trHeight w:val="270" w:hRule="atLeast"/>
              </w:trPr>
              <w:tc>
                <w:tcPr>
                  <w:tcW w:w="38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1、因公出国（境）费</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0</w:t>
                  </w:r>
                </w:p>
              </w:tc>
            </w:tr>
            <w:tr>
              <w:tblPrEx>
                <w:tblCellMar>
                  <w:top w:w="0" w:type="dxa"/>
                  <w:left w:w="108" w:type="dxa"/>
                  <w:bottom w:w="0" w:type="dxa"/>
                  <w:right w:w="108" w:type="dxa"/>
                </w:tblCellMar>
              </w:tblPrEx>
              <w:trPr>
                <w:trHeight w:val="270" w:hRule="atLeast"/>
              </w:trPr>
              <w:tc>
                <w:tcPr>
                  <w:tcW w:w="38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2、公务用车购置及运行维护费</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47</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40</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-7</w:t>
                  </w:r>
                </w:p>
              </w:tc>
            </w:tr>
            <w:tr>
              <w:tblPrEx>
                <w:tblCellMar>
                  <w:top w:w="0" w:type="dxa"/>
                  <w:left w:w="108" w:type="dxa"/>
                  <w:bottom w:w="0" w:type="dxa"/>
                  <w:right w:w="108" w:type="dxa"/>
                </w:tblCellMar>
              </w:tblPrEx>
              <w:trPr>
                <w:trHeight w:val="270" w:hRule="atLeast"/>
              </w:trPr>
              <w:tc>
                <w:tcPr>
                  <w:tcW w:w="38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3、公务接待费</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28.2</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30</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1.8</w:t>
                  </w:r>
                </w:p>
              </w:tc>
            </w:tr>
            <w:tr>
              <w:tblPrEx>
                <w:tblCellMar>
                  <w:top w:w="0" w:type="dxa"/>
                  <w:left w:w="108" w:type="dxa"/>
                  <w:bottom w:w="0" w:type="dxa"/>
                  <w:right w:w="108" w:type="dxa"/>
                </w:tblCellMar>
              </w:tblPrEx>
              <w:trPr>
                <w:trHeight w:val="270" w:hRule="atLeast"/>
              </w:trPr>
              <w:tc>
                <w:tcPr>
                  <w:tcW w:w="38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支出合计</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80.2</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75</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-5.2</w:t>
                  </w:r>
                </w:p>
              </w:tc>
            </w:tr>
          </w:tbl>
          <w:p>
            <w:pPr>
              <w:widowControl/>
              <w:jc w:val="left"/>
              <w:rPr>
                <w:rFonts w:ascii="宋体" w:hAnsi="宋体" w:eastAsia="宋体" w:cs="宋体"/>
                <w:color w:val="000000" w:themeColor="text1"/>
                <w:kern w:val="0"/>
                <w:sz w:val="22"/>
              </w:rPr>
            </w:pPr>
          </w:p>
        </w:tc>
        <w:tc>
          <w:tcPr>
            <w:tcW w:w="36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c>
          <w:tcPr>
            <w:tcW w:w="36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c>
          <w:tcPr>
            <w:tcW w:w="36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rPr>
            </w:pPr>
          </w:p>
        </w:tc>
      </w:tr>
    </w:tbl>
    <w:p>
      <w:pPr>
        <w:ind w:right="140" w:firstLine="560" w:firstLineChars="200"/>
        <w:jc w:val="right"/>
        <w:rPr>
          <w:color w:val="000000" w:themeColor="text1"/>
          <w:sz w:val="28"/>
          <w:szCs w:val="28"/>
        </w:rPr>
      </w:pPr>
      <w:r>
        <w:rPr>
          <w:rFonts w:hint="eastAsia"/>
          <w:color w:val="000000" w:themeColor="text1"/>
          <w:sz w:val="28"/>
          <w:szCs w:val="28"/>
        </w:rPr>
        <w:t>表4-5单位：万元</w:t>
      </w:r>
    </w:p>
    <w:p>
      <w:pPr>
        <w:ind w:firstLine="420" w:firstLineChars="200"/>
        <w:rPr>
          <w:color w:val="000000" w:themeColor="text1"/>
          <w:sz w:val="28"/>
          <w:szCs w:val="28"/>
        </w:rPr>
      </w:pPr>
      <w:r>
        <w:rPr>
          <w:color w:val="000000" w:themeColor="text1"/>
        </w:rPr>
        <w:drawing>
          <wp:inline distT="0" distB="0" distL="0" distR="0">
            <wp:extent cx="5688330" cy="3497580"/>
            <wp:effectExtent l="0" t="0" r="26670" b="2667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560" w:firstLineChars="200"/>
        <w:jc w:val="right"/>
        <w:rPr>
          <w:color w:val="000000" w:themeColor="text1"/>
          <w:sz w:val="28"/>
          <w:szCs w:val="28"/>
        </w:rPr>
      </w:pPr>
      <w:r>
        <w:rPr>
          <w:rFonts w:hint="eastAsia"/>
          <w:color w:val="000000" w:themeColor="text1"/>
          <w:sz w:val="28"/>
          <w:szCs w:val="28"/>
        </w:rPr>
        <w:t>图4-4</w:t>
      </w:r>
    </w:p>
    <w:p>
      <w:pPr>
        <w:ind w:firstLine="560" w:firstLineChars="200"/>
        <w:rPr>
          <w:color w:val="000000" w:themeColor="text1"/>
          <w:sz w:val="28"/>
          <w:szCs w:val="28"/>
        </w:rPr>
      </w:pPr>
      <w:r>
        <w:rPr>
          <w:rFonts w:hint="eastAsia"/>
          <w:color w:val="000000" w:themeColor="text1"/>
          <w:sz w:val="28"/>
          <w:szCs w:val="28"/>
        </w:rPr>
        <w:t>（二）因公出国（境）费支出情况因公出国人数较上年减少1为5人，团次与上年持平为2次即我校全年出国费用为一行3人赴英国、瑞典访问交流，一行2人赴波兰、匈牙利、捷克进行人才招聘。开支主要内容为人员公务出国（境）的国际旅费、住宿费、国外城市间交通费、伙食费 、公杂补助等支出。</w:t>
      </w:r>
    </w:p>
    <w:p>
      <w:pPr>
        <w:ind w:firstLine="560" w:firstLineChars="200"/>
        <w:rPr>
          <w:color w:val="000000" w:themeColor="text1"/>
          <w:sz w:val="28"/>
          <w:szCs w:val="28"/>
        </w:rPr>
      </w:pPr>
      <w:r>
        <w:rPr>
          <w:rFonts w:hint="eastAsia"/>
          <w:color w:val="000000" w:themeColor="text1"/>
          <w:sz w:val="28"/>
          <w:szCs w:val="28"/>
        </w:rPr>
        <w:t>（三）公务接待费支出情况</w:t>
      </w:r>
    </w:p>
    <w:p>
      <w:pPr>
        <w:ind w:firstLine="560" w:firstLineChars="200"/>
        <w:rPr>
          <w:color w:val="000000" w:themeColor="text1"/>
          <w:sz w:val="28"/>
          <w:szCs w:val="28"/>
        </w:rPr>
      </w:pPr>
      <w:r>
        <w:rPr>
          <w:rFonts w:hint="eastAsia"/>
          <w:color w:val="000000" w:themeColor="text1"/>
          <w:sz w:val="28"/>
          <w:szCs w:val="28"/>
        </w:rPr>
        <w:t>接待人数较上年增加但是支出较上年增加1.8万元为30万元。国内公务接待主要为按规定开支的国内公务来访人员活动接待等，全年无外事接待任务。</w:t>
      </w:r>
    </w:p>
    <w:p>
      <w:pPr>
        <w:ind w:firstLine="560" w:firstLineChars="200"/>
        <w:rPr>
          <w:color w:val="000000" w:themeColor="text1"/>
          <w:sz w:val="28"/>
          <w:szCs w:val="28"/>
        </w:rPr>
      </w:pPr>
      <w:r>
        <w:rPr>
          <w:rFonts w:hint="eastAsia"/>
          <w:color w:val="000000" w:themeColor="text1"/>
          <w:sz w:val="28"/>
          <w:szCs w:val="28"/>
        </w:rPr>
        <w:t>（四）公务用车购置及运行维护费支出情况</w:t>
      </w:r>
    </w:p>
    <w:p>
      <w:pPr>
        <w:ind w:firstLine="560" w:firstLineChars="200"/>
        <w:rPr>
          <w:color w:val="000000" w:themeColor="text1"/>
          <w:sz w:val="28"/>
          <w:szCs w:val="28"/>
        </w:rPr>
      </w:pPr>
      <w:r>
        <w:rPr>
          <w:rFonts w:hint="eastAsia"/>
          <w:color w:val="000000" w:themeColor="text1"/>
          <w:sz w:val="28"/>
          <w:szCs w:val="28"/>
        </w:rPr>
        <w:t>2018年无公务用车购置，公务用车维护支出为40万元，主要支出项目为公务车辆运行的燃料费、维修费、过桥过路费、保险费等；公车数量及保有量与上年持平未增减。</w:t>
      </w:r>
    </w:p>
    <w:p>
      <w:pPr>
        <w:ind w:firstLine="560" w:firstLineChars="200"/>
        <w:rPr>
          <w:color w:val="000000" w:themeColor="text1"/>
          <w:sz w:val="28"/>
          <w:szCs w:val="28"/>
        </w:rPr>
      </w:pPr>
      <w:r>
        <w:rPr>
          <w:rFonts w:hint="eastAsia"/>
          <w:color w:val="000000" w:themeColor="text1"/>
          <w:sz w:val="28"/>
          <w:szCs w:val="28"/>
        </w:rPr>
        <w:t>（五）培训费支出决算情况说明</w:t>
      </w:r>
    </w:p>
    <w:p>
      <w:pPr>
        <w:ind w:firstLine="560" w:firstLineChars="200"/>
        <w:rPr>
          <w:color w:val="000000" w:themeColor="text1"/>
          <w:sz w:val="28"/>
          <w:szCs w:val="28"/>
        </w:rPr>
      </w:pPr>
      <w:r>
        <w:rPr>
          <w:rFonts w:hint="eastAsia"/>
          <w:color w:val="000000" w:themeColor="text1"/>
          <w:sz w:val="28"/>
          <w:szCs w:val="28"/>
        </w:rPr>
        <w:t>2018年没有使用公共预算财政拨款安排的会议费支出。</w:t>
      </w:r>
    </w:p>
    <w:p>
      <w:pPr>
        <w:ind w:firstLine="560" w:firstLineChars="200"/>
        <w:rPr>
          <w:color w:val="000000" w:themeColor="text1"/>
          <w:sz w:val="28"/>
          <w:szCs w:val="28"/>
        </w:rPr>
      </w:pPr>
      <w:r>
        <w:rPr>
          <w:rFonts w:hint="eastAsia"/>
          <w:color w:val="000000" w:themeColor="text1"/>
          <w:sz w:val="28"/>
          <w:szCs w:val="28"/>
        </w:rPr>
        <w:t>（六）会议费支出决算情况说明。</w:t>
      </w:r>
    </w:p>
    <w:p>
      <w:pPr>
        <w:ind w:firstLine="560" w:firstLineChars="200"/>
        <w:rPr>
          <w:color w:val="000000" w:themeColor="text1"/>
          <w:sz w:val="28"/>
          <w:szCs w:val="28"/>
        </w:rPr>
      </w:pPr>
      <w:r>
        <w:rPr>
          <w:rFonts w:hint="eastAsia"/>
          <w:color w:val="000000" w:themeColor="text1"/>
          <w:sz w:val="28"/>
          <w:szCs w:val="28"/>
        </w:rPr>
        <w:t>2018年没有使用公共预算财政拨款安排的培训费支出。</w:t>
      </w:r>
    </w:p>
    <w:p>
      <w:pPr>
        <w:ind w:firstLine="560" w:firstLineChars="200"/>
        <w:outlineLvl w:val="0"/>
        <w:rPr>
          <w:rFonts w:ascii="黑体" w:hAnsi="黑体" w:eastAsia="黑体"/>
          <w:color w:val="000000" w:themeColor="text1"/>
          <w:sz w:val="28"/>
          <w:szCs w:val="28"/>
        </w:rPr>
      </w:pPr>
      <w:r>
        <w:rPr>
          <w:rFonts w:hint="eastAsia" w:ascii="黑体" w:hAnsi="黑体" w:eastAsia="黑体"/>
          <w:color w:val="000000" w:themeColor="text1"/>
          <w:sz w:val="28"/>
          <w:szCs w:val="28"/>
        </w:rPr>
        <w:t>五、2018年度单位绩效管理情况说明</w:t>
      </w:r>
    </w:p>
    <w:p>
      <w:pPr>
        <w:ind w:firstLine="560" w:firstLineChars="200"/>
        <w:rPr>
          <w:color w:val="000000" w:themeColor="text1"/>
          <w:sz w:val="28"/>
          <w:szCs w:val="28"/>
        </w:rPr>
      </w:pPr>
      <w:r>
        <w:rPr>
          <w:rFonts w:hint="eastAsia"/>
          <w:color w:val="000000" w:themeColor="text1"/>
          <w:sz w:val="28"/>
          <w:szCs w:val="28"/>
        </w:rPr>
        <w:t>根据预算绩效管理要求，本单位组织对 2018 年度一般公共预算项目支出全面开展绩效自评，其中，一级项目3个，二级项目 11个，共涉及资金 4945万元，占一般公共预算项目支出总额的 90.02%，较好的完成了既定的绩效目标。</w:t>
      </w:r>
    </w:p>
    <w:p>
      <w:pPr>
        <w:ind w:firstLine="560" w:firstLineChars="200"/>
        <w:rPr>
          <w:color w:val="000000" w:themeColor="text1"/>
          <w:sz w:val="28"/>
          <w:szCs w:val="28"/>
        </w:rPr>
      </w:pPr>
    </w:p>
    <w:p>
      <w:pPr>
        <w:widowControl/>
        <w:jc w:val="left"/>
        <w:rPr>
          <w:color w:val="000000" w:themeColor="text1"/>
          <w:sz w:val="28"/>
          <w:szCs w:val="28"/>
        </w:rPr>
      </w:pPr>
      <w:r>
        <w:rPr>
          <w:color w:val="000000" w:themeColor="text1"/>
          <w:sz w:val="28"/>
          <w:szCs w:val="28"/>
        </w:rPr>
        <w:br w:type="page"/>
      </w:r>
    </w:p>
    <w:p>
      <w:pPr>
        <w:jc w:val="center"/>
        <w:rPr>
          <w:color w:val="000000" w:themeColor="text1"/>
          <w:sz w:val="36"/>
          <w:szCs w:val="36"/>
        </w:rPr>
      </w:pPr>
      <w:r>
        <w:rPr>
          <w:rFonts w:hint="eastAsia"/>
          <w:b/>
          <w:bCs/>
          <w:color w:val="000000" w:themeColor="text1"/>
          <w:sz w:val="32"/>
          <w:szCs w:val="32"/>
        </w:rPr>
        <w:t>中央对地方专项转移支付区域（项目）绩效目标自评表</w:t>
      </w:r>
    </w:p>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（2018年度）</w:t>
      </w:r>
    </w:p>
    <w:tbl>
      <w:tblPr>
        <w:tblStyle w:val="6"/>
        <w:tblpPr w:leftFromText="180" w:rightFromText="180" w:vertAnchor="text" w:horzAnchor="page" w:tblpX="1307" w:tblpY="180"/>
        <w:tblOverlap w:val="never"/>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60"/>
        <w:gridCol w:w="675"/>
        <w:gridCol w:w="1890"/>
        <w:gridCol w:w="1275"/>
        <w:gridCol w:w="1635"/>
        <w:gridCol w:w="130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070" w:type="dxa"/>
            <w:gridSpan w:val="3"/>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专项（项目）名称</w:t>
            </w:r>
          </w:p>
        </w:tc>
        <w:tc>
          <w:tcPr>
            <w:tcW w:w="7440" w:type="dxa"/>
            <w:gridSpan w:val="5"/>
            <w:vAlign w:val="center"/>
          </w:tcPr>
          <w:p>
            <w:pP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2018年中央财政支持地方高校改革发展资金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中央主管部门</w:t>
            </w:r>
          </w:p>
        </w:tc>
        <w:tc>
          <w:tcPr>
            <w:tcW w:w="7440" w:type="dxa"/>
            <w:gridSpan w:val="5"/>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地方主管部门</w:t>
            </w:r>
          </w:p>
        </w:tc>
        <w:tc>
          <w:tcPr>
            <w:tcW w:w="3165" w:type="dxa"/>
            <w:gridSpan w:val="2"/>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陕西省教育厅</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实施单位</w:t>
            </w:r>
          </w:p>
        </w:tc>
        <w:tc>
          <w:tcPr>
            <w:tcW w:w="2640" w:type="dxa"/>
            <w:gridSpan w:val="2"/>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西安医学院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Merge w:val="restart"/>
            <w:vAlign w:val="center"/>
          </w:tcPr>
          <w:p>
            <w:pPr>
              <w:jc w:val="center"/>
              <w:rPr>
                <w:rFonts w:ascii="Times New Roman" w:hAnsi="Times New Roman" w:eastAsia="宋体" w:cs="Times New Roman"/>
                <w:color w:val="000000" w:themeColor="text1"/>
                <w:kern w:val="0"/>
                <w:sz w:val="21"/>
                <w:szCs w:val="21"/>
              </w:rPr>
            </w:pPr>
          </w:p>
          <w:p>
            <w:pPr>
              <w:jc w:val="center"/>
              <w:rPr>
                <w:rFonts w:ascii="Times New Roman" w:hAnsi="Times New Roman" w:eastAsia="宋体" w:cs="Times New Roman"/>
                <w:color w:val="000000" w:themeColor="text1"/>
                <w:kern w:val="2"/>
                <w:sz w:val="21"/>
                <w:szCs w:val="21"/>
              </w:rPr>
            </w:pPr>
            <w:r>
              <w:rPr>
                <w:rFonts w:ascii="Times New Roman" w:hAnsi="Times New Roman" w:eastAsia="宋体" w:cs="Times New Roman"/>
                <w:color w:val="000000" w:themeColor="text1"/>
                <w:kern w:val="2"/>
                <w:sz w:val="21"/>
                <w:szCs w:val="21"/>
              </w:rPr>
              <w:t>项目资金（万元）</w:t>
            </w:r>
          </w:p>
        </w:tc>
        <w:tc>
          <w:tcPr>
            <w:tcW w:w="1890" w:type="dxa"/>
            <w:vAlign w:val="center"/>
          </w:tcPr>
          <w:p>
            <w:pPr>
              <w:jc w:val="center"/>
              <w:rPr>
                <w:rFonts w:ascii="Times New Roman" w:hAnsi="Times New Roman" w:eastAsia="宋体" w:cs="Times New Roman"/>
                <w:color w:val="000000" w:themeColor="text1"/>
                <w:kern w:val="0"/>
                <w:sz w:val="21"/>
                <w:szCs w:val="21"/>
              </w:rPr>
            </w:pPr>
          </w:p>
        </w:tc>
        <w:tc>
          <w:tcPr>
            <w:tcW w:w="127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全年预算数（A）</w:t>
            </w:r>
          </w:p>
        </w:tc>
        <w:tc>
          <w:tcPr>
            <w:tcW w:w="2940" w:type="dxa"/>
            <w:gridSpan w:val="2"/>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全年执行数（B）</w:t>
            </w:r>
          </w:p>
        </w:tc>
        <w:tc>
          <w:tcPr>
            <w:tcW w:w="13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Merge w:val="continue"/>
            <w:vAlign w:val="center"/>
          </w:tcPr>
          <w:p>
            <w:pPr>
              <w:jc w:val="center"/>
              <w:rPr>
                <w:rFonts w:ascii="Times New Roman" w:hAnsi="Times New Roman" w:eastAsia="宋体" w:cs="Times New Roman"/>
                <w:color w:val="000000" w:themeColor="text1"/>
                <w:kern w:val="0"/>
                <w:sz w:val="21"/>
                <w:szCs w:val="21"/>
              </w:rPr>
            </w:pPr>
          </w:p>
        </w:tc>
        <w:tc>
          <w:tcPr>
            <w:tcW w:w="1890"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年度资金总额：</w:t>
            </w:r>
          </w:p>
        </w:tc>
        <w:tc>
          <w:tcPr>
            <w:tcW w:w="127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4940</w:t>
            </w:r>
          </w:p>
        </w:tc>
        <w:tc>
          <w:tcPr>
            <w:tcW w:w="2940" w:type="dxa"/>
            <w:gridSpan w:val="2"/>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4940</w:t>
            </w:r>
          </w:p>
        </w:tc>
        <w:tc>
          <w:tcPr>
            <w:tcW w:w="13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Merge w:val="continue"/>
            <w:vAlign w:val="center"/>
          </w:tcPr>
          <w:p>
            <w:pPr>
              <w:jc w:val="center"/>
              <w:rPr>
                <w:rFonts w:ascii="Times New Roman" w:hAnsi="Times New Roman" w:eastAsia="宋体" w:cs="Times New Roman"/>
                <w:color w:val="000000" w:themeColor="text1"/>
                <w:kern w:val="0"/>
                <w:sz w:val="21"/>
                <w:szCs w:val="21"/>
              </w:rPr>
            </w:pPr>
          </w:p>
        </w:tc>
        <w:tc>
          <w:tcPr>
            <w:tcW w:w="1890"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其中： 中央补助</w:t>
            </w:r>
          </w:p>
        </w:tc>
        <w:tc>
          <w:tcPr>
            <w:tcW w:w="127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4940</w:t>
            </w:r>
          </w:p>
        </w:tc>
        <w:tc>
          <w:tcPr>
            <w:tcW w:w="2940" w:type="dxa"/>
            <w:gridSpan w:val="2"/>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4940</w:t>
            </w:r>
          </w:p>
        </w:tc>
        <w:tc>
          <w:tcPr>
            <w:tcW w:w="13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Merge w:val="continue"/>
            <w:vAlign w:val="center"/>
          </w:tcPr>
          <w:p>
            <w:pPr>
              <w:jc w:val="center"/>
              <w:rPr>
                <w:rFonts w:ascii="Times New Roman" w:hAnsi="Times New Roman" w:eastAsia="宋体" w:cs="Times New Roman"/>
                <w:color w:val="000000" w:themeColor="text1"/>
                <w:kern w:val="0"/>
                <w:sz w:val="21"/>
                <w:szCs w:val="21"/>
              </w:rPr>
            </w:pPr>
          </w:p>
        </w:tc>
        <w:tc>
          <w:tcPr>
            <w:tcW w:w="1890"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 xml:space="preserve">       地方资金</w:t>
            </w:r>
          </w:p>
        </w:tc>
        <w:tc>
          <w:tcPr>
            <w:tcW w:w="1275" w:type="dxa"/>
            <w:vAlign w:val="center"/>
          </w:tcPr>
          <w:p>
            <w:pPr>
              <w:jc w:val="center"/>
              <w:rPr>
                <w:rFonts w:ascii="Times New Roman" w:hAnsi="Times New Roman" w:eastAsia="宋体" w:cs="Times New Roman"/>
                <w:color w:val="000000" w:themeColor="text1"/>
                <w:kern w:val="0"/>
                <w:sz w:val="21"/>
                <w:szCs w:val="21"/>
              </w:rPr>
            </w:pPr>
          </w:p>
        </w:tc>
        <w:tc>
          <w:tcPr>
            <w:tcW w:w="2940" w:type="dxa"/>
            <w:gridSpan w:val="2"/>
            <w:vAlign w:val="center"/>
          </w:tcPr>
          <w:p>
            <w:pPr>
              <w:jc w:val="center"/>
              <w:rPr>
                <w:rFonts w:ascii="Times New Roman" w:hAnsi="Times New Roman" w:eastAsia="宋体" w:cs="Times New Roman"/>
                <w:color w:val="000000" w:themeColor="text1"/>
                <w:kern w:val="0"/>
                <w:sz w:val="21"/>
                <w:szCs w:val="21"/>
              </w:rPr>
            </w:pPr>
          </w:p>
        </w:tc>
        <w:tc>
          <w:tcPr>
            <w:tcW w:w="1335" w:type="dxa"/>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gridSpan w:val="3"/>
            <w:vMerge w:val="continue"/>
            <w:vAlign w:val="center"/>
          </w:tcPr>
          <w:p>
            <w:pPr>
              <w:jc w:val="center"/>
              <w:rPr>
                <w:rFonts w:ascii="Times New Roman" w:hAnsi="Times New Roman" w:eastAsia="宋体" w:cs="Times New Roman"/>
                <w:color w:val="000000" w:themeColor="text1"/>
                <w:kern w:val="0"/>
                <w:sz w:val="21"/>
                <w:szCs w:val="21"/>
              </w:rPr>
            </w:pPr>
          </w:p>
        </w:tc>
        <w:tc>
          <w:tcPr>
            <w:tcW w:w="1890"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 xml:space="preserve">       其他资金</w:t>
            </w:r>
          </w:p>
        </w:tc>
        <w:tc>
          <w:tcPr>
            <w:tcW w:w="1275" w:type="dxa"/>
            <w:vAlign w:val="center"/>
          </w:tcPr>
          <w:p>
            <w:pPr>
              <w:jc w:val="center"/>
              <w:rPr>
                <w:rFonts w:ascii="Times New Roman" w:hAnsi="Times New Roman" w:eastAsia="宋体" w:cs="Times New Roman"/>
                <w:color w:val="000000" w:themeColor="text1"/>
                <w:kern w:val="0"/>
                <w:sz w:val="21"/>
                <w:szCs w:val="21"/>
              </w:rPr>
            </w:pPr>
          </w:p>
        </w:tc>
        <w:tc>
          <w:tcPr>
            <w:tcW w:w="2940" w:type="dxa"/>
            <w:gridSpan w:val="2"/>
            <w:vAlign w:val="center"/>
          </w:tcPr>
          <w:p>
            <w:pPr>
              <w:jc w:val="center"/>
              <w:rPr>
                <w:rFonts w:ascii="Times New Roman" w:hAnsi="Times New Roman" w:eastAsia="宋体" w:cs="Times New Roman"/>
                <w:color w:val="000000" w:themeColor="text1"/>
                <w:kern w:val="0"/>
                <w:sz w:val="21"/>
                <w:szCs w:val="21"/>
              </w:rPr>
            </w:pPr>
          </w:p>
        </w:tc>
        <w:tc>
          <w:tcPr>
            <w:tcW w:w="1335" w:type="dxa"/>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3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年度总体目标</w:t>
            </w:r>
          </w:p>
        </w:tc>
        <w:tc>
          <w:tcPr>
            <w:tcW w:w="4500" w:type="dxa"/>
            <w:gridSpan w:val="4"/>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年初设定目标</w:t>
            </w:r>
          </w:p>
        </w:tc>
        <w:tc>
          <w:tcPr>
            <w:tcW w:w="4275" w:type="dxa"/>
            <w:gridSpan w:val="3"/>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4500" w:type="dxa"/>
            <w:gridSpan w:val="4"/>
            <w:vAlign w:val="center"/>
          </w:tcPr>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目标1：提升科研实力。</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目标2：获得省科技奖项。</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目标3：建设省级重点实验室和科研开放共享平台。</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目标4：</w:t>
            </w:r>
            <w:r>
              <w:rPr>
                <w:rFonts w:ascii="Times New Roman" w:hAnsi="Times New Roman" w:eastAsia="宋体" w:cs="Times New Roman"/>
                <w:color w:val="000000" w:themeColor="text1"/>
                <w:kern w:val="0"/>
                <w:sz w:val="21"/>
                <w:szCs w:val="21"/>
              </w:rPr>
              <w:t>建设高水平心血管疾病基础与转化医学研究平台</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为科研人员提供良好的科学研究条件</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目标5：</w:t>
            </w:r>
            <w:r>
              <w:rPr>
                <w:rFonts w:ascii="Times New Roman" w:hAnsi="Times New Roman" w:eastAsia="宋体" w:cs="Times New Roman"/>
                <w:color w:val="000000" w:themeColor="text1"/>
                <w:kern w:val="0"/>
                <w:sz w:val="21"/>
                <w:szCs w:val="21"/>
              </w:rPr>
              <w:t>加强临床医学实训基地建设</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提高研究生临床实践操作能力</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实现研究生教育与规范化培训接轨</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建设高水平临床医学教育和研究基地</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目标6：</w:t>
            </w:r>
            <w:r>
              <w:rPr>
                <w:rFonts w:ascii="Times New Roman" w:hAnsi="Times New Roman" w:eastAsia="宋体" w:cs="Times New Roman"/>
                <w:color w:val="000000" w:themeColor="text1"/>
                <w:kern w:val="0"/>
                <w:sz w:val="21"/>
                <w:szCs w:val="21"/>
              </w:rPr>
              <w:t>通过加大学科建设力度，提高人才培养质量</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目标7：显著提高教育教学资源利用率，提升我院临床实践模拟教学水平，有力增强学校学术声誉与核心竞争力。</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目标8：</w:t>
            </w:r>
            <w:r>
              <w:rPr>
                <w:rFonts w:ascii="Times New Roman" w:hAnsi="Times New Roman" w:eastAsia="宋体" w:cs="Times New Roman"/>
                <w:color w:val="000000" w:themeColor="text1"/>
                <w:kern w:val="0"/>
                <w:sz w:val="21"/>
                <w:szCs w:val="21"/>
              </w:rPr>
              <w:t>启动临床医学一流专业及其认证工作：调研、学习、培训，制定工作方案、召开校内与校外临床医学专业认证动员大会等。</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目标9：提升学科硬件设施，为各级教改项目的申报提供便利，为校级重点实验室申报奠定基础的获批奠定基础。</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目标10：</w:t>
            </w:r>
            <w:r>
              <w:rPr>
                <w:rFonts w:ascii="Times New Roman" w:hAnsi="Times New Roman" w:eastAsia="宋体" w:cs="Times New Roman"/>
                <w:color w:val="000000" w:themeColor="text1"/>
                <w:kern w:val="0"/>
                <w:sz w:val="21"/>
                <w:szCs w:val="21"/>
              </w:rPr>
              <w:t>开展全校范围内专任教师教学能力及教学水平提升方面培训。</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目标11：</w:t>
            </w:r>
            <w:r>
              <w:rPr>
                <w:rFonts w:ascii="Times New Roman" w:hAnsi="Times New Roman" w:eastAsia="宋体" w:cs="Times New Roman"/>
                <w:color w:val="000000" w:themeColor="text1"/>
                <w:kern w:val="0"/>
                <w:sz w:val="21"/>
                <w:szCs w:val="21"/>
              </w:rPr>
              <w:t>组织开展国内、外进修交流活动。</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目标12：引进高层次人才。</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目标13：加快学校教师博士化进程，提升教师队伍水平。</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目标14：完善</w:t>
            </w:r>
            <w:r>
              <w:rPr>
                <w:rFonts w:ascii="Times New Roman" w:hAnsi="Times New Roman" w:eastAsia="宋体" w:cs="Times New Roman"/>
                <w:color w:val="000000" w:themeColor="text1"/>
                <w:kern w:val="0"/>
                <w:sz w:val="21"/>
                <w:szCs w:val="21"/>
              </w:rPr>
              <w:t>图书馆文献综合服务平台建设</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更好地为学校教学科研服务，为广大师生读者利用图书馆各种资源提供保障。</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目标15：</w:t>
            </w:r>
            <w:r>
              <w:rPr>
                <w:rFonts w:ascii="Times New Roman" w:hAnsi="Times New Roman" w:eastAsia="宋体" w:cs="Times New Roman"/>
                <w:color w:val="000000" w:themeColor="text1"/>
                <w:kern w:val="0"/>
                <w:sz w:val="21"/>
                <w:szCs w:val="21"/>
              </w:rPr>
              <w:t>建立数据标准、交换、共享平台，实现数据交换共享</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目标16：</w:t>
            </w:r>
            <w:r>
              <w:rPr>
                <w:rFonts w:ascii="Times New Roman" w:hAnsi="Times New Roman" w:eastAsia="宋体" w:cs="Times New Roman"/>
                <w:color w:val="000000" w:themeColor="text1"/>
                <w:kern w:val="0"/>
                <w:sz w:val="21"/>
                <w:szCs w:val="21"/>
              </w:rPr>
              <w:t>建立人事、研究生、学生管理等业务应用系统，升级教务、档案等系统建设</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目标17：</w:t>
            </w:r>
            <w:r>
              <w:rPr>
                <w:rFonts w:ascii="Times New Roman" w:hAnsi="Times New Roman" w:eastAsia="宋体" w:cs="Times New Roman"/>
                <w:color w:val="000000" w:themeColor="text1"/>
                <w:kern w:val="0"/>
                <w:sz w:val="21"/>
                <w:szCs w:val="21"/>
              </w:rPr>
              <w:t>以</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数据交换、服务集中、应用集成</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为标准对信息资源进行整合和优化，逐步构建起体现时代特征、适应教育改革发展,与培养高素质、综合性、创新型人才相适应的数字化教学管理及服务体系</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目标18：</w:t>
            </w:r>
            <w:r>
              <w:rPr>
                <w:rFonts w:ascii="Times New Roman" w:hAnsi="Times New Roman" w:eastAsia="宋体" w:cs="Times New Roman"/>
                <w:color w:val="000000" w:themeColor="text1"/>
                <w:kern w:val="0"/>
                <w:sz w:val="21"/>
                <w:szCs w:val="21"/>
              </w:rPr>
              <w:t>全面实现校园信息的五个数字化：数字化环境、数字化管理、数字化学习、数字化科研和数字化生活，最终实现智慧化、科学化和规范化。</w:t>
            </w:r>
          </w:p>
        </w:tc>
        <w:tc>
          <w:tcPr>
            <w:tcW w:w="4275" w:type="dxa"/>
            <w:gridSpan w:val="3"/>
            <w:vAlign w:val="center"/>
          </w:tcPr>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基本完成了年初设定的目标。具体如下：</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目标1：科研实力得到提升。</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目标2：获得省科技奖项8项。</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目标3：逐步完成了省级重点实验室和科研开放共享平台建设。</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目标4：逐步完成了</w:t>
            </w:r>
            <w:r>
              <w:rPr>
                <w:rFonts w:ascii="Times New Roman" w:hAnsi="Times New Roman" w:eastAsia="宋体" w:cs="Times New Roman"/>
                <w:color w:val="000000" w:themeColor="text1"/>
                <w:kern w:val="0"/>
                <w:sz w:val="21"/>
                <w:szCs w:val="21"/>
              </w:rPr>
              <w:t>高水平心血管疾病基础与转化医学研究平台</w:t>
            </w:r>
            <w:r>
              <w:rPr>
                <w:rFonts w:hint="eastAsia" w:ascii="Times New Roman" w:hAnsi="Times New Roman" w:eastAsia="宋体" w:cs="Times New Roman"/>
                <w:color w:val="000000" w:themeColor="text1"/>
                <w:kern w:val="0"/>
                <w:sz w:val="21"/>
                <w:szCs w:val="21"/>
              </w:rPr>
              <w:t>建设。</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目标5：有效</w:t>
            </w:r>
            <w:r>
              <w:rPr>
                <w:rFonts w:ascii="Times New Roman" w:hAnsi="Times New Roman" w:eastAsia="宋体" w:cs="Times New Roman"/>
                <w:color w:val="000000" w:themeColor="text1"/>
                <w:kern w:val="0"/>
                <w:sz w:val="21"/>
                <w:szCs w:val="21"/>
              </w:rPr>
              <w:t>加强</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临床医学实训基地建设</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提高</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研究生临床实践操作能力</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实现</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研究生教育与规范化培训接轨</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目标6：</w:t>
            </w:r>
            <w:r>
              <w:rPr>
                <w:rFonts w:ascii="Times New Roman" w:hAnsi="Times New Roman" w:eastAsia="宋体" w:cs="Times New Roman"/>
                <w:color w:val="000000" w:themeColor="text1"/>
                <w:kern w:val="0"/>
                <w:sz w:val="21"/>
                <w:szCs w:val="21"/>
              </w:rPr>
              <w:t>通过加大学科建设力度，</w:t>
            </w:r>
            <w:r>
              <w:rPr>
                <w:rFonts w:hint="eastAsia" w:ascii="Times New Roman" w:hAnsi="Times New Roman" w:eastAsia="宋体" w:cs="Times New Roman"/>
                <w:color w:val="000000" w:themeColor="text1"/>
                <w:kern w:val="0"/>
                <w:sz w:val="21"/>
                <w:szCs w:val="21"/>
              </w:rPr>
              <w:t>有效</w:t>
            </w:r>
            <w:r>
              <w:rPr>
                <w:rFonts w:ascii="Times New Roman" w:hAnsi="Times New Roman" w:eastAsia="宋体" w:cs="Times New Roman"/>
                <w:color w:val="000000" w:themeColor="text1"/>
                <w:kern w:val="0"/>
                <w:sz w:val="21"/>
                <w:szCs w:val="21"/>
              </w:rPr>
              <w:t>提高</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人才培养质量</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目标7：显著提高了教育教学资源利用率，提升了我院临床实践模拟教学水平力。</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目标8：完成了</w:t>
            </w:r>
            <w:r>
              <w:rPr>
                <w:rFonts w:ascii="Times New Roman" w:hAnsi="Times New Roman" w:eastAsia="宋体" w:cs="Times New Roman"/>
                <w:color w:val="000000" w:themeColor="text1"/>
                <w:kern w:val="0"/>
                <w:sz w:val="21"/>
                <w:szCs w:val="21"/>
              </w:rPr>
              <w:t>临床医学一流专业及其认证工作</w:t>
            </w:r>
            <w:r>
              <w:rPr>
                <w:rFonts w:hint="eastAsia" w:ascii="Times New Roman" w:hAnsi="Times New Roman" w:eastAsia="宋体" w:cs="Times New Roman"/>
                <w:color w:val="000000" w:themeColor="text1"/>
                <w:kern w:val="0"/>
                <w:sz w:val="21"/>
                <w:szCs w:val="21"/>
              </w:rPr>
              <w:t>第一步</w:t>
            </w:r>
            <w:r>
              <w:rPr>
                <w:rFonts w:ascii="Times New Roman" w:hAnsi="Times New Roman" w:eastAsia="宋体" w:cs="Times New Roman"/>
                <w:color w:val="000000" w:themeColor="text1"/>
                <w:kern w:val="0"/>
                <w:sz w:val="21"/>
                <w:szCs w:val="21"/>
              </w:rPr>
              <w:t>：调研、学习、培训，制定工作方案、召开校内与校外临床医学专业认证动员大会等。</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目标9：新增教学科研仪器设备808台件，有效提升了学科硬件设施。</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目标10：深入</w:t>
            </w:r>
            <w:r>
              <w:rPr>
                <w:rFonts w:ascii="Times New Roman" w:hAnsi="Times New Roman" w:eastAsia="宋体" w:cs="Times New Roman"/>
                <w:color w:val="000000" w:themeColor="text1"/>
                <w:kern w:val="0"/>
                <w:sz w:val="21"/>
                <w:szCs w:val="21"/>
              </w:rPr>
              <w:t>开展</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全校范围内专任教师教学能力及教学水平提升方面培训。</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目标11：</w:t>
            </w:r>
            <w:r>
              <w:rPr>
                <w:rFonts w:ascii="Times New Roman" w:hAnsi="Times New Roman" w:eastAsia="宋体" w:cs="Times New Roman"/>
                <w:color w:val="000000" w:themeColor="text1"/>
                <w:kern w:val="0"/>
                <w:sz w:val="21"/>
                <w:szCs w:val="21"/>
              </w:rPr>
              <w:t>组织开展</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国内、外进修交流活动。</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目标12：引进高层次人才1人。</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目标13：与2名博士签订工作意向协议，教师队伍水平得到提升。</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目标14：基本完善了</w:t>
            </w:r>
            <w:r>
              <w:rPr>
                <w:rFonts w:ascii="Times New Roman" w:hAnsi="Times New Roman" w:eastAsia="宋体" w:cs="Times New Roman"/>
                <w:color w:val="000000" w:themeColor="text1"/>
                <w:kern w:val="0"/>
                <w:sz w:val="21"/>
                <w:szCs w:val="21"/>
              </w:rPr>
              <w:t>图书馆文献综合服务平台建设</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更好地为学校教学科研服务，为广大师生读者利用图书馆各种资源提供保障。</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目标15：基本建成了</w:t>
            </w:r>
            <w:r>
              <w:rPr>
                <w:rFonts w:ascii="Times New Roman" w:hAnsi="Times New Roman" w:eastAsia="宋体" w:cs="Times New Roman"/>
                <w:color w:val="000000" w:themeColor="text1"/>
                <w:kern w:val="0"/>
                <w:sz w:val="21"/>
                <w:szCs w:val="21"/>
              </w:rPr>
              <w:t>数据标准、交换、共享平台，实现数据交换共享</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目标16：完成了</w:t>
            </w:r>
            <w:r>
              <w:rPr>
                <w:rFonts w:ascii="Times New Roman" w:hAnsi="Times New Roman" w:eastAsia="宋体" w:cs="Times New Roman"/>
                <w:color w:val="000000" w:themeColor="text1"/>
                <w:kern w:val="0"/>
                <w:sz w:val="21"/>
                <w:szCs w:val="21"/>
              </w:rPr>
              <w:t>人事、研究生、学生管理等业务应用系统，升级教务、档案等系统</w:t>
            </w:r>
            <w:r>
              <w:rPr>
                <w:rFonts w:hint="eastAsia" w:ascii="Times New Roman" w:hAnsi="Times New Roman" w:eastAsia="宋体" w:cs="Times New Roman"/>
                <w:color w:val="000000" w:themeColor="text1"/>
                <w:kern w:val="0"/>
                <w:sz w:val="21"/>
                <w:szCs w:val="21"/>
              </w:rPr>
              <w:t>的</w:t>
            </w:r>
            <w:r>
              <w:rPr>
                <w:rFonts w:ascii="Times New Roman" w:hAnsi="Times New Roman" w:eastAsia="宋体" w:cs="Times New Roman"/>
                <w:color w:val="000000" w:themeColor="text1"/>
                <w:kern w:val="0"/>
                <w:sz w:val="21"/>
                <w:szCs w:val="21"/>
              </w:rPr>
              <w:t>建设</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目标17：基本实现</w:t>
            </w:r>
            <w:r>
              <w:rPr>
                <w:rFonts w:ascii="Times New Roman" w:hAnsi="Times New Roman" w:eastAsia="宋体" w:cs="Times New Roman"/>
                <w:color w:val="000000" w:themeColor="text1"/>
                <w:kern w:val="0"/>
                <w:sz w:val="21"/>
                <w:szCs w:val="21"/>
              </w:rPr>
              <w:t>以</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数据交换、服务集中、应用集成</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为标准对信息资源进行整合和优化，逐步构建起体现时代特征、适应教育改革发展,与培养高素质、综合性、创新型人才相适应的数字化教学管理及服务体系</w:t>
            </w:r>
            <w:r>
              <w:rPr>
                <w:rFonts w:hint="eastAsia" w:ascii="Times New Roman" w:hAnsi="Times New Roman" w:eastAsia="宋体" w:cs="Times New Roman"/>
                <w:color w:val="000000" w:themeColor="text1"/>
                <w:kern w:val="0"/>
                <w:sz w:val="21"/>
                <w:szCs w:val="21"/>
              </w:rPr>
              <w:t>。</w:t>
            </w:r>
          </w:p>
          <w:p>
            <w:pPr>
              <w:jc w:val="left"/>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目标18：基本</w:t>
            </w:r>
            <w:r>
              <w:rPr>
                <w:rFonts w:ascii="Times New Roman" w:hAnsi="Times New Roman" w:eastAsia="宋体" w:cs="Times New Roman"/>
                <w:color w:val="000000" w:themeColor="text1"/>
                <w:kern w:val="0"/>
                <w:sz w:val="21"/>
                <w:szCs w:val="21"/>
              </w:rPr>
              <w:t>实现</w:t>
            </w:r>
            <w:r>
              <w:rPr>
                <w:rFonts w:hint="eastAsia" w:ascii="Times New Roman" w:hAnsi="Times New Roman" w:eastAsia="宋体" w:cs="Times New Roman"/>
                <w:color w:val="000000" w:themeColor="text1"/>
                <w:kern w:val="0"/>
                <w:sz w:val="21"/>
                <w:szCs w:val="21"/>
              </w:rPr>
              <w:t>了</w:t>
            </w:r>
            <w:r>
              <w:rPr>
                <w:rFonts w:ascii="Times New Roman" w:hAnsi="Times New Roman" w:eastAsia="宋体" w:cs="Times New Roman"/>
                <w:color w:val="000000" w:themeColor="text1"/>
                <w:kern w:val="0"/>
                <w:sz w:val="21"/>
                <w:szCs w:val="21"/>
              </w:rPr>
              <w:t>校园信息的五个数字化：数字化环境、数字化管理、数字化学习、数字化科研和数字化生活，最终实现智慧化、科学化和规范化。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绩效</w:t>
            </w:r>
          </w:p>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p>
          <w:p>
            <w:pPr>
              <w:jc w:val="center"/>
              <w:rPr>
                <w:rFonts w:ascii="Times New Roman" w:hAnsi="Times New Roman" w:eastAsia="宋体" w:cs="Times New Roman"/>
                <w:color w:val="000000" w:themeColor="text1"/>
                <w:kern w:val="0"/>
                <w:sz w:val="21"/>
                <w:szCs w:val="21"/>
              </w:rPr>
            </w:pPr>
          </w:p>
          <w:p>
            <w:pPr>
              <w:jc w:val="center"/>
              <w:rPr>
                <w:rFonts w:ascii="Times New Roman" w:hAnsi="Times New Roman" w:eastAsia="宋体" w:cs="Times New Roman"/>
                <w:color w:val="000000" w:themeColor="text1"/>
                <w:kern w:val="0"/>
                <w:sz w:val="21"/>
                <w:szCs w:val="21"/>
              </w:rPr>
            </w:pPr>
          </w:p>
        </w:tc>
        <w:tc>
          <w:tcPr>
            <w:tcW w:w="660"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一级指标</w:t>
            </w:r>
          </w:p>
        </w:tc>
        <w:tc>
          <w:tcPr>
            <w:tcW w:w="67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二级指标</w:t>
            </w:r>
          </w:p>
        </w:tc>
        <w:tc>
          <w:tcPr>
            <w:tcW w:w="3165" w:type="dxa"/>
            <w:gridSpan w:val="2"/>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三级指标</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年度指标值</w:t>
            </w:r>
          </w:p>
        </w:tc>
        <w:tc>
          <w:tcPr>
            <w:tcW w:w="1305" w:type="dxa"/>
            <w:vAlign w:val="center"/>
          </w:tcPr>
          <w:p>
            <w:pP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全年完成值</w:t>
            </w:r>
          </w:p>
        </w:tc>
        <w:tc>
          <w:tcPr>
            <w:tcW w:w="13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产出指标</w:t>
            </w:r>
          </w:p>
        </w:tc>
        <w:tc>
          <w:tcPr>
            <w:tcW w:w="67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数量指标</w:t>
            </w: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指标1：获得省级科技奖项</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w:t>
            </w:r>
            <w:r>
              <w:rPr>
                <w:rFonts w:ascii="Times New Roman" w:hAnsi="Times New Roman" w:eastAsia="宋体" w:cs="Times New Roman"/>
                <w:color w:val="000000" w:themeColor="text1"/>
                <w:kern w:val="0"/>
                <w:sz w:val="21"/>
                <w:szCs w:val="21"/>
              </w:rPr>
              <w:t>项</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8项</w:t>
            </w:r>
          </w:p>
        </w:tc>
        <w:tc>
          <w:tcPr>
            <w:tcW w:w="1335" w:type="dxa"/>
            <w:vMerge w:val="restart"/>
            <w:vAlign w:val="center"/>
          </w:tcPr>
          <w:p>
            <w:pP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1、项目实施者或负责人对绩效管理的认识不够深刻，认为绩效管理是一项额外的工作。因此，我们要提高对绩效管理体系的认识，明确规定绩效管理的重要性和意义，要把绩效管理的思想落实到具体的工作中。</w:t>
            </w:r>
          </w:p>
          <w:p>
            <w:pP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2、项目资金使用情况评价指标体系需进一步完善。绩效评价是一项十分复杂的系统工作，涉及面广，操作难度大。构建合理地指标体系是做好项目资金绩效评价工作的核心和关键，而设立合理地评价指标是构建合理指标体系的基础。但就目前项目绩效的实施情况看，还需继续完善指标体系，以学校实际情况出发，构建更加科学合理地项目评价指标体系。</w:t>
            </w:r>
          </w:p>
          <w:p>
            <w:pP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项目预算评价相关管理制度还需进一步完善，目前，我校正在积极整理相关资料，修订预算编报程序，制定出一套更加完整、科学的制度对预算管理进行规范。同时，严格预算执行。在整个预算期内，严格按照年初制定的项目绩效目标，有效控制经费范围、合理合规使用资金、按时完成执行进度。</w:t>
            </w:r>
          </w:p>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指标2：发表科研论文</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52</w:t>
            </w:r>
            <w:r>
              <w:rPr>
                <w:rFonts w:ascii="Times New Roman" w:hAnsi="Times New Roman" w:eastAsia="宋体" w:cs="Times New Roman"/>
                <w:color w:val="000000" w:themeColor="text1"/>
                <w:kern w:val="0"/>
                <w:sz w:val="21"/>
                <w:szCs w:val="21"/>
              </w:rPr>
              <w:t>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84篇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指标3：</w:t>
            </w:r>
            <w:r>
              <w:rPr>
                <w:rFonts w:hint="eastAsia" w:ascii="Times New Roman" w:hAnsi="Times New Roman" w:eastAsia="宋体" w:cs="Times New Roman"/>
                <w:color w:val="000000" w:themeColor="text1"/>
                <w:kern w:val="0"/>
                <w:sz w:val="21"/>
                <w:szCs w:val="21"/>
              </w:rPr>
              <w:t>专利授权量</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21</w:t>
            </w:r>
            <w:r>
              <w:rPr>
                <w:rFonts w:ascii="Times New Roman" w:hAnsi="Times New Roman" w:eastAsia="宋体" w:cs="Times New Roman"/>
                <w:color w:val="000000" w:themeColor="text1"/>
                <w:kern w:val="0"/>
                <w:sz w:val="21"/>
                <w:szCs w:val="21"/>
              </w:rPr>
              <w:t>项</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28项</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4</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国家自然科学基金项目</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10项</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10项</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5</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国家社会科学基金项目</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2项</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1项</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6</w:t>
            </w:r>
            <w:r>
              <w:rPr>
                <w:rFonts w:ascii="Times New Roman" w:hAnsi="Times New Roman" w:eastAsia="宋体" w:cs="Times New Roman"/>
                <w:color w:val="000000" w:themeColor="text1"/>
                <w:kern w:val="0"/>
                <w:sz w:val="21"/>
                <w:szCs w:val="21"/>
              </w:rPr>
              <w:t>：设计性、综合型、创新型实验</w:t>
            </w:r>
            <w:r>
              <w:rPr>
                <w:rFonts w:hint="eastAsia" w:ascii="Times New Roman" w:hAnsi="Times New Roman" w:eastAsia="宋体" w:cs="Times New Roman"/>
                <w:color w:val="000000" w:themeColor="text1"/>
                <w:kern w:val="0"/>
                <w:sz w:val="21"/>
                <w:szCs w:val="21"/>
              </w:rPr>
              <w:t>建设项目</w:t>
            </w:r>
            <w:r>
              <w:rPr>
                <w:rFonts w:ascii="Times New Roman" w:hAnsi="Times New Roman" w:eastAsia="宋体" w:cs="Times New Roman"/>
                <w:color w:val="000000" w:themeColor="text1"/>
                <w:kern w:val="0"/>
                <w:sz w:val="21"/>
                <w:szCs w:val="21"/>
              </w:rPr>
              <w:t>的开展</w:t>
            </w:r>
          </w:p>
        </w:tc>
        <w:tc>
          <w:tcPr>
            <w:tcW w:w="1635" w:type="dxa"/>
            <w:vAlign w:val="center"/>
          </w:tcPr>
          <w:p>
            <w:pPr>
              <w:jc w:val="center"/>
              <w:rPr>
                <w:rFonts w:ascii="Times New Roman" w:hAnsi="Times New Roman" w:eastAsia="宋体" w:cs="Times New Roman"/>
                <w:color w:val="000000" w:themeColor="text1"/>
                <w:kern w:val="0"/>
                <w:sz w:val="21"/>
                <w:szCs w:val="21"/>
              </w:rPr>
            </w:pPr>
            <w:r>
              <w:rPr>
                <w:rStyle w:val="16"/>
                <w:rFonts w:eastAsia="宋体"/>
                <w:color w:val="000000" w:themeColor="text1"/>
                <w:kern w:val="0"/>
                <w:sz w:val="21"/>
                <w:szCs w:val="21"/>
              </w:rPr>
              <w:t>≥3</w:t>
            </w:r>
            <w:r>
              <w:rPr>
                <w:rStyle w:val="15"/>
                <w:rFonts w:hint="default"/>
                <w:color w:val="000000" w:themeColor="text1"/>
                <w:kern w:val="0"/>
                <w:sz w:val="21"/>
                <w:szCs w:val="21"/>
              </w:rPr>
              <w:t>个</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3个</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7</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教学成果奖</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≥1-3</w:t>
            </w:r>
            <w:r>
              <w:rPr>
                <w:rStyle w:val="15"/>
                <w:rFonts w:hint="default"/>
                <w:color w:val="000000" w:themeColor="text1"/>
                <w:kern w:val="0"/>
                <w:sz w:val="21"/>
                <w:szCs w:val="21"/>
              </w:rPr>
              <w:t>项</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2项</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8</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新增教学科研仪器</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1000台</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808台</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9</w:t>
            </w:r>
            <w:r>
              <w:rPr>
                <w:rFonts w:ascii="Times New Roman" w:hAnsi="Times New Roman" w:eastAsia="宋体" w:cs="Times New Roman"/>
                <w:color w:val="000000" w:themeColor="text1"/>
                <w:kern w:val="0"/>
                <w:sz w:val="21"/>
                <w:szCs w:val="21"/>
              </w:rPr>
              <w:t>：常规实践操作承载能力</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≥200人</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≥200人</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指标10：获批创新创业项目</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80项</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79项</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指标11：创新创业实践教学基地</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1个</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1个</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w:t>
            </w:r>
            <w:r>
              <w:rPr>
                <w:rFonts w:ascii="Times New Roman" w:hAnsi="Times New Roman" w:eastAsia="宋体" w:cs="Times New Roman"/>
                <w:color w:val="000000" w:themeColor="text1"/>
                <w:kern w:val="0"/>
                <w:sz w:val="21"/>
                <w:szCs w:val="21"/>
              </w:rPr>
              <w:t>2：服务覆盖能力</w:t>
            </w:r>
          </w:p>
        </w:tc>
        <w:tc>
          <w:tcPr>
            <w:tcW w:w="1635" w:type="dxa"/>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实习学生、教职工、医护人员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全覆盖</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w:t>
            </w:r>
            <w:r>
              <w:rPr>
                <w:rFonts w:ascii="Times New Roman" w:hAnsi="Times New Roman" w:eastAsia="宋体" w:cs="Times New Roman"/>
                <w:color w:val="000000" w:themeColor="text1"/>
                <w:kern w:val="0"/>
                <w:sz w:val="21"/>
                <w:szCs w:val="21"/>
              </w:rPr>
              <w:t>3：开展各类技能比赛</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3次</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3次</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14</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承办</w:t>
            </w:r>
            <w:r>
              <w:rPr>
                <w:rFonts w:ascii="Times New Roman" w:hAnsi="Times New Roman" w:eastAsia="宋体" w:cs="Times New Roman"/>
                <w:color w:val="000000" w:themeColor="text1"/>
                <w:kern w:val="0"/>
                <w:sz w:val="21"/>
                <w:szCs w:val="21"/>
              </w:rPr>
              <w:t>国家医学考试</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1次</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1次</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指标15：高层次人才引进</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3人</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1人</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16</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师资队伍</w:t>
            </w:r>
            <w:r>
              <w:rPr>
                <w:rFonts w:ascii="Times New Roman" w:hAnsi="Times New Roman" w:eastAsia="宋体" w:cs="Times New Roman"/>
                <w:color w:val="000000" w:themeColor="text1"/>
                <w:kern w:val="0"/>
                <w:sz w:val="21"/>
                <w:szCs w:val="21"/>
              </w:rPr>
              <w:t>培训班次</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60次</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60次</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17</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师资队伍</w:t>
            </w:r>
            <w:r>
              <w:rPr>
                <w:rFonts w:ascii="Times New Roman" w:hAnsi="Times New Roman" w:eastAsia="宋体" w:cs="Times New Roman"/>
                <w:color w:val="000000" w:themeColor="text1"/>
                <w:kern w:val="0"/>
                <w:sz w:val="21"/>
                <w:szCs w:val="21"/>
              </w:rPr>
              <w:t>培训人数</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800人</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800人</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18</w:t>
            </w:r>
            <w:r>
              <w:rPr>
                <w:rFonts w:ascii="Times New Roman" w:hAnsi="Times New Roman" w:eastAsia="宋体" w:cs="Times New Roman"/>
                <w:color w:val="000000" w:themeColor="text1"/>
                <w:kern w:val="0"/>
                <w:sz w:val="21"/>
                <w:szCs w:val="21"/>
              </w:rPr>
              <w:t>：省级人才工程</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10</w:t>
            </w:r>
            <w:r>
              <w:rPr>
                <w:rFonts w:ascii="Times New Roman" w:hAnsi="Times New Roman" w:eastAsia="宋体" w:cs="Times New Roman"/>
                <w:color w:val="000000" w:themeColor="text1"/>
                <w:kern w:val="0"/>
                <w:sz w:val="21"/>
                <w:szCs w:val="21"/>
              </w:rPr>
              <w:t>人</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10人</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19</w:t>
            </w:r>
            <w:r>
              <w:rPr>
                <w:rFonts w:ascii="Times New Roman" w:hAnsi="Times New Roman" w:eastAsia="宋体" w:cs="Times New Roman"/>
                <w:color w:val="000000" w:themeColor="text1"/>
                <w:kern w:val="0"/>
                <w:sz w:val="21"/>
                <w:szCs w:val="21"/>
              </w:rPr>
              <w:t>：引进科研成绩突出，有国外研究经历人才</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13人</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3人</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20</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新增</w:t>
            </w:r>
            <w:r>
              <w:rPr>
                <w:rFonts w:ascii="Times New Roman" w:hAnsi="Times New Roman" w:eastAsia="宋体" w:cs="Times New Roman"/>
                <w:color w:val="000000" w:themeColor="text1"/>
                <w:kern w:val="0"/>
                <w:sz w:val="21"/>
                <w:szCs w:val="21"/>
              </w:rPr>
              <w:t>图书馆数据库个数</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3</w:t>
            </w:r>
            <w:r>
              <w:rPr>
                <w:rFonts w:ascii="Times New Roman" w:hAnsi="Times New Roman" w:eastAsia="宋体" w:cs="Times New Roman"/>
                <w:color w:val="000000" w:themeColor="text1"/>
                <w:kern w:val="0"/>
                <w:sz w:val="21"/>
                <w:szCs w:val="21"/>
              </w:rPr>
              <w:t>个</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1个</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21</w:t>
            </w:r>
            <w:r>
              <w:rPr>
                <w:rFonts w:ascii="Times New Roman" w:hAnsi="Times New Roman" w:eastAsia="宋体" w:cs="Times New Roman"/>
                <w:color w:val="000000" w:themeColor="text1"/>
                <w:kern w:val="0"/>
                <w:sz w:val="21"/>
                <w:szCs w:val="21"/>
              </w:rPr>
              <w:t>：支持的学科数量</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覆盖全校所有学科</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逐步覆盖</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22</w:t>
            </w:r>
            <w:r>
              <w:rPr>
                <w:rFonts w:ascii="Times New Roman" w:hAnsi="Times New Roman" w:eastAsia="宋体" w:cs="Times New Roman"/>
                <w:color w:val="000000" w:themeColor="text1"/>
                <w:kern w:val="0"/>
                <w:sz w:val="21"/>
                <w:szCs w:val="21"/>
              </w:rPr>
              <w:t>：软件采购（含定制化开发）</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20</w:t>
            </w:r>
            <w:r>
              <w:rPr>
                <w:rFonts w:ascii="Times New Roman" w:hAnsi="Times New Roman" w:eastAsia="宋体" w:cs="Times New Roman"/>
                <w:color w:val="000000" w:themeColor="text1"/>
                <w:kern w:val="0"/>
                <w:sz w:val="21"/>
                <w:szCs w:val="21"/>
              </w:rPr>
              <w:t>套</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19套</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23</w:t>
            </w: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图书馆软件系统数量</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增至13个</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15个</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质量指标</w:t>
            </w: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指标1：科研资助项目水平</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指标2：研究论文水平</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SCI收录率提升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3</w:t>
            </w:r>
            <w:r>
              <w:rPr>
                <w:rFonts w:ascii="Times New Roman" w:hAnsi="Times New Roman" w:eastAsia="宋体" w:cs="Times New Roman"/>
                <w:color w:val="000000" w:themeColor="text1"/>
                <w:kern w:val="0"/>
                <w:sz w:val="21"/>
                <w:szCs w:val="21"/>
              </w:rPr>
              <w:t>：平台利用率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4</w:t>
            </w:r>
            <w:r>
              <w:rPr>
                <w:rFonts w:ascii="Times New Roman" w:hAnsi="Times New Roman" w:eastAsia="宋体" w:cs="Times New Roman"/>
                <w:color w:val="000000" w:themeColor="text1"/>
                <w:kern w:val="0"/>
                <w:sz w:val="21"/>
                <w:szCs w:val="21"/>
              </w:rPr>
              <w:t>：学生临床基本技能</w:t>
            </w:r>
            <w:r>
              <w:rPr>
                <w:rFonts w:hint="eastAsia" w:ascii="Times New Roman" w:hAnsi="Times New Roman" w:eastAsia="宋体" w:cs="Times New Roman"/>
                <w:color w:val="000000" w:themeColor="text1"/>
                <w:kern w:val="0"/>
                <w:sz w:val="21"/>
                <w:szCs w:val="21"/>
              </w:rPr>
              <w:t>和实操能力</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5</w:t>
            </w:r>
            <w:r>
              <w:rPr>
                <w:rFonts w:ascii="Times New Roman" w:hAnsi="Times New Roman" w:eastAsia="宋体" w:cs="Times New Roman"/>
                <w:color w:val="000000" w:themeColor="text1"/>
                <w:kern w:val="0"/>
                <w:sz w:val="21"/>
                <w:szCs w:val="21"/>
              </w:rPr>
              <w:t>：学生综合就业率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6</w:t>
            </w:r>
            <w:r>
              <w:rPr>
                <w:rFonts w:ascii="Times New Roman" w:hAnsi="Times New Roman" w:eastAsia="宋体" w:cs="Times New Roman"/>
                <w:color w:val="000000" w:themeColor="text1"/>
                <w:kern w:val="0"/>
                <w:sz w:val="21"/>
                <w:szCs w:val="21"/>
              </w:rPr>
              <w:t>：学生执业医师通过率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高于全国平均水平</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高出国家水平3%</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7</w:t>
            </w:r>
            <w:r>
              <w:rPr>
                <w:rFonts w:ascii="Times New Roman" w:hAnsi="Times New Roman" w:eastAsia="宋体" w:cs="Times New Roman"/>
                <w:color w:val="000000" w:themeColor="text1"/>
                <w:kern w:val="0"/>
                <w:sz w:val="21"/>
                <w:szCs w:val="21"/>
              </w:rPr>
              <w:t>：设备使用率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100%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8</w:t>
            </w:r>
            <w:r>
              <w:rPr>
                <w:rFonts w:ascii="Times New Roman" w:hAnsi="Times New Roman" w:eastAsia="宋体" w:cs="Times New Roman"/>
                <w:color w:val="000000" w:themeColor="text1"/>
                <w:kern w:val="0"/>
                <w:sz w:val="21"/>
                <w:szCs w:val="21"/>
              </w:rPr>
              <w:t>：实习学生基本实践能力</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显著提高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提高</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9</w:t>
            </w:r>
            <w:r>
              <w:rPr>
                <w:rFonts w:ascii="Times New Roman" w:hAnsi="Times New Roman" w:eastAsia="宋体" w:cs="Times New Roman"/>
                <w:color w:val="000000" w:themeColor="text1"/>
                <w:kern w:val="0"/>
                <w:sz w:val="21"/>
                <w:szCs w:val="21"/>
              </w:rPr>
              <w:t>：教师队伍建设</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显著提升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10</w:t>
            </w:r>
            <w:r>
              <w:rPr>
                <w:rFonts w:ascii="Times New Roman" w:hAnsi="Times New Roman" w:eastAsia="宋体" w:cs="Times New Roman"/>
                <w:color w:val="000000" w:themeColor="text1"/>
                <w:kern w:val="0"/>
                <w:sz w:val="21"/>
                <w:szCs w:val="21"/>
              </w:rPr>
              <w:t>：研究生教育与规范化培训接轨</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显著完善</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基本完善</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w:t>
            </w:r>
            <w:r>
              <w:rPr>
                <w:rFonts w:hint="eastAsia" w:ascii="Times New Roman" w:hAnsi="Times New Roman" w:eastAsia="宋体" w:cs="Times New Roman"/>
                <w:color w:val="000000" w:themeColor="text1"/>
                <w:kern w:val="0"/>
                <w:sz w:val="21"/>
                <w:szCs w:val="21"/>
              </w:rPr>
              <w:t>1</w:t>
            </w:r>
            <w:r>
              <w:rPr>
                <w:rFonts w:ascii="Times New Roman" w:hAnsi="Times New Roman" w:eastAsia="宋体" w:cs="Times New Roman"/>
                <w:color w:val="000000" w:themeColor="text1"/>
                <w:kern w:val="0"/>
                <w:sz w:val="21"/>
                <w:szCs w:val="21"/>
              </w:rPr>
              <w:t>：人才培养质量</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显著提升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w:t>
            </w:r>
            <w:r>
              <w:rPr>
                <w:rFonts w:hint="eastAsia" w:ascii="Times New Roman" w:hAnsi="Times New Roman" w:eastAsia="宋体" w:cs="Times New Roman"/>
                <w:color w:val="000000" w:themeColor="text1"/>
                <w:kern w:val="0"/>
                <w:sz w:val="21"/>
                <w:szCs w:val="21"/>
              </w:rPr>
              <w:t>2</w:t>
            </w:r>
            <w:r>
              <w:rPr>
                <w:rFonts w:ascii="Times New Roman" w:hAnsi="Times New Roman" w:eastAsia="宋体" w:cs="Times New Roman"/>
                <w:color w:val="000000" w:themeColor="text1"/>
                <w:kern w:val="0"/>
                <w:sz w:val="21"/>
                <w:szCs w:val="21"/>
              </w:rPr>
              <w:t>：师资队伍培训参与度</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w:t>
            </w:r>
            <w:r>
              <w:rPr>
                <w:rFonts w:hint="eastAsia" w:ascii="Times New Roman" w:hAnsi="Times New Roman" w:eastAsia="宋体" w:cs="Times New Roman"/>
                <w:color w:val="000000" w:themeColor="text1"/>
                <w:kern w:val="0"/>
                <w:sz w:val="21"/>
                <w:szCs w:val="21"/>
              </w:rPr>
              <w:t>3</w:t>
            </w:r>
            <w:r>
              <w:rPr>
                <w:rFonts w:ascii="Times New Roman" w:hAnsi="Times New Roman" w:eastAsia="宋体" w:cs="Times New Roman"/>
                <w:color w:val="000000" w:themeColor="text1"/>
                <w:kern w:val="0"/>
                <w:sz w:val="21"/>
                <w:szCs w:val="21"/>
              </w:rPr>
              <w:t>：师资队伍培训覆盖率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w:t>
            </w:r>
            <w:r>
              <w:rPr>
                <w:rFonts w:hint="eastAsia" w:ascii="Times New Roman" w:hAnsi="Times New Roman" w:eastAsia="宋体" w:cs="Times New Roman"/>
                <w:color w:val="000000" w:themeColor="text1"/>
                <w:kern w:val="0"/>
                <w:sz w:val="21"/>
                <w:szCs w:val="21"/>
              </w:rPr>
              <w:t>4</w:t>
            </w:r>
            <w:r>
              <w:rPr>
                <w:rFonts w:ascii="Times New Roman" w:hAnsi="Times New Roman" w:eastAsia="宋体" w:cs="Times New Roman"/>
                <w:color w:val="000000" w:themeColor="text1"/>
                <w:kern w:val="0"/>
                <w:sz w:val="21"/>
                <w:szCs w:val="21"/>
              </w:rPr>
              <w:t>：学校学科建设水平</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w:t>
            </w:r>
            <w:r>
              <w:rPr>
                <w:rFonts w:hint="eastAsia" w:ascii="Times New Roman" w:hAnsi="Times New Roman" w:eastAsia="宋体" w:cs="Times New Roman"/>
                <w:color w:val="000000" w:themeColor="text1"/>
                <w:kern w:val="0"/>
                <w:sz w:val="21"/>
                <w:szCs w:val="21"/>
              </w:rPr>
              <w:t>5</w:t>
            </w:r>
            <w:r>
              <w:rPr>
                <w:rFonts w:ascii="Times New Roman" w:hAnsi="Times New Roman" w:eastAsia="宋体" w:cs="Times New Roman"/>
                <w:color w:val="000000" w:themeColor="text1"/>
                <w:kern w:val="0"/>
                <w:sz w:val="21"/>
                <w:szCs w:val="21"/>
              </w:rPr>
              <w:t>：重点学科领域的学术地位</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指标18：学校科研水平</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指标19：完成</w:t>
            </w:r>
            <w:r>
              <w:rPr>
                <w:rFonts w:hint="eastAsia" w:ascii="Times New Roman" w:hAnsi="Times New Roman" w:eastAsia="宋体" w:cs="Times New Roman"/>
                <w:color w:val="000000" w:themeColor="text1"/>
                <w:kern w:val="0"/>
                <w:sz w:val="21"/>
                <w:szCs w:val="21"/>
              </w:rPr>
              <w:t>我校</w:t>
            </w:r>
            <w:r>
              <w:rPr>
                <w:rFonts w:ascii="Times New Roman" w:hAnsi="Times New Roman" w:eastAsia="宋体" w:cs="Times New Roman"/>
                <w:color w:val="000000" w:themeColor="text1"/>
                <w:kern w:val="0"/>
                <w:sz w:val="21"/>
                <w:szCs w:val="21"/>
              </w:rPr>
              <w:t>基本数据库学科参考</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全面覆盖</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大多数覆盖</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指标20：学科资源覆盖程度</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全面</w:t>
            </w:r>
            <w:r>
              <w:rPr>
                <w:rFonts w:hint="eastAsia" w:ascii="Times New Roman" w:hAnsi="Times New Roman" w:eastAsia="宋体" w:cs="Times New Roman"/>
                <w:color w:val="000000" w:themeColor="text1"/>
                <w:kern w:val="0"/>
                <w:sz w:val="21"/>
                <w:szCs w:val="21"/>
              </w:rPr>
              <w:t>覆盖</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逐步覆盖</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指标21：图书馆软件平台基础保障</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逐步完善</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逐步完善</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指标22：智慧校园平台系统验收合格率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≥99%</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w:t>
            </w:r>
            <w:r>
              <w:rPr>
                <w:rFonts w:hint="eastAsia" w:ascii="Times New Roman" w:hAnsi="Times New Roman" w:eastAsia="宋体" w:cs="Times New Roman"/>
                <w:color w:val="000000" w:themeColor="text1"/>
                <w:kern w:val="0"/>
                <w:sz w:val="21"/>
                <w:szCs w:val="21"/>
              </w:rPr>
              <w:t>0</w:t>
            </w:r>
            <w:r>
              <w:rPr>
                <w:rFonts w:ascii="Times New Roman" w:hAnsi="Times New Roman" w:eastAsia="宋体" w:cs="Times New Roman"/>
                <w:color w:val="000000" w:themeColor="text1"/>
                <w:kern w:val="0"/>
                <w:sz w:val="21"/>
                <w:szCs w:val="21"/>
              </w:rPr>
              <w:t>%</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指标23：智慧校园平台系统正常运行率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≥99%</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w:t>
            </w:r>
            <w:r>
              <w:rPr>
                <w:rFonts w:hint="eastAsia" w:ascii="Times New Roman" w:hAnsi="Times New Roman" w:eastAsia="宋体" w:cs="Times New Roman"/>
                <w:color w:val="000000" w:themeColor="text1"/>
                <w:kern w:val="0"/>
                <w:sz w:val="21"/>
                <w:szCs w:val="21"/>
              </w:rPr>
              <w:t>0</w:t>
            </w:r>
            <w:r>
              <w:rPr>
                <w:rFonts w:ascii="Times New Roman" w:hAnsi="Times New Roman" w:eastAsia="宋体" w:cs="Times New Roman"/>
                <w:color w:val="000000" w:themeColor="text1"/>
                <w:kern w:val="0"/>
                <w:sz w:val="21"/>
                <w:szCs w:val="21"/>
              </w:rPr>
              <w:t>%</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时效指标</w:t>
            </w: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指标1：项目执行率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2</w:t>
            </w:r>
            <w:r>
              <w:rPr>
                <w:rFonts w:ascii="Times New Roman" w:hAnsi="Times New Roman" w:eastAsia="宋体" w:cs="Times New Roman"/>
                <w:color w:val="000000" w:themeColor="text1"/>
                <w:kern w:val="0"/>
                <w:sz w:val="21"/>
                <w:szCs w:val="21"/>
              </w:rPr>
              <w:t>：项目完成及时率</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3</w:t>
            </w:r>
            <w:r>
              <w:rPr>
                <w:rFonts w:ascii="Times New Roman" w:hAnsi="Times New Roman" w:eastAsia="宋体" w:cs="Times New Roman"/>
                <w:color w:val="000000" w:themeColor="text1"/>
                <w:kern w:val="0"/>
                <w:sz w:val="21"/>
                <w:szCs w:val="21"/>
              </w:rPr>
              <w:t>：师资队伍培训计划按期完成率</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≥95%</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w:t>
            </w:r>
            <w:r>
              <w:rPr>
                <w:rFonts w:hint="eastAsia" w:ascii="Times New Roman" w:hAnsi="Times New Roman" w:eastAsia="宋体" w:cs="Times New Roman"/>
                <w:color w:val="000000" w:themeColor="text1"/>
                <w:kern w:val="0"/>
                <w:sz w:val="21"/>
                <w:szCs w:val="21"/>
              </w:rPr>
              <w:t>0</w:t>
            </w:r>
            <w:r>
              <w:rPr>
                <w:rFonts w:ascii="Times New Roman" w:hAnsi="Times New Roman" w:eastAsia="宋体" w:cs="Times New Roman"/>
                <w:color w:val="000000" w:themeColor="text1"/>
                <w:kern w:val="0"/>
                <w:sz w:val="21"/>
                <w:szCs w:val="21"/>
              </w:rPr>
              <w:t>%</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4</w:t>
            </w:r>
            <w:r>
              <w:rPr>
                <w:rFonts w:ascii="Times New Roman" w:hAnsi="Times New Roman" w:eastAsia="宋体" w:cs="Times New Roman"/>
                <w:color w:val="000000" w:themeColor="text1"/>
                <w:kern w:val="0"/>
                <w:sz w:val="21"/>
                <w:szCs w:val="21"/>
              </w:rPr>
              <w:t>：智慧校园平台系统故障修复响应时间</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明显改善</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改善</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5</w:t>
            </w:r>
            <w:r>
              <w:rPr>
                <w:rFonts w:ascii="Times New Roman" w:hAnsi="Times New Roman" w:eastAsia="宋体" w:cs="Times New Roman"/>
                <w:color w:val="000000" w:themeColor="text1"/>
                <w:kern w:val="0"/>
                <w:sz w:val="21"/>
                <w:szCs w:val="21"/>
              </w:rPr>
              <w:t>：智慧校园平台系统运行维护响应时间</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明显改善</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改善</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效益指标</w:t>
            </w:r>
          </w:p>
        </w:tc>
        <w:tc>
          <w:tcPr>
            <w:tcW w:w="67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社会效益指标</w:t>
            </w: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指标1：就业人数</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增加</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稳定</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2</w:t>
            </w:r>
            <w:r>
              <w:rPr>
                <w:rFonts w:ascii="Times New Roman" w:hAnsi="Times New Roman" w:eastAsia="宋体" w:cs="Times New Roman"/>
                <w:color w:val="000000" w:themeColor="text1"/>
                <w:kern w:val="0"/>
                <w:sz w:val="21"/>
                <w:szCs w:val="21"/>
              </w:rPr>
              <w:t>：临床医学专业社会认可度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提高</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3</w:t>
            </w:r>
            <w:r>
              <w:rPr>
                <w:rFonts w:ascii="Times New Roman" w:hAnsi="Times New Roman" w:eastAsia="宋体" w:cs="Times New Roman"/>
                <w:color w:val="000000" w:themeColor="text1"/>
                <w:kern w:val="0"/>
                <w:sz w:val="21"/>
                <w:szCs w:val="21"/>
              </w:rPr>
              <w:t>：医疗技术</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4</w:t>
            </w:r>
            <w:r>
              <w:rPr>
                <w:rFonts w:ascii="Times New Roman" w:hAnsi="Times New Roman" w:eastAsia="宋体" w:cs="Times New Roman"/>
                <w:color w:val="000000" w:themeColor="text1"/>
                <w:kern w:val="0"/>
                <w:sz w:val="21"/>
                <w:szCs w:val="21"/>
              </w:rPr>
              <w:t>：学院知名度</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5</w:t>
            </w:r>
            <w:r>
              <w:rPr>
                <w:rFonts w:ascii="Times New Roman" w:hAnsi="Times New Roman" w:eastAsia="宋体" w:cs="Times New Roman"/>
                <w:color w:val="000000" w:themeColor="text1"/>
                <w:kern w:val="0"/>
                <w:sz w:val="21"/>
                <w:szCs w:val="21"/>
              </w:rPr>
              <w:t>：医疗卫生事业发展</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显著推动</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推动</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6</w:t>
            </w:r>
            <w:r>
              <w:rPr>
                <w:rFonts w:ascii="Times New Roman" w:hAnsi="Times New Roman" w:eastAsia="宋体" w:cs="Times New Roman"/>
                <w:color w:val="000000" w:themeColor="text1"/>
                <w:kern w:val="0"/>
                <w:sz w:val="21"/>
                <w:szCs w:val="21"/>
              </w:rPr>
              <w:t>：社区卫生服务水平</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显著提升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7</w:t>
            </w:r>
            <w:r>
              <w:rPr>
                <w:rFonts w:ascii="Times New Roman" w:hAnsi="Times New Roman" w:eastAsia="宋体" w:cs="Times New Roman"/>
                <w:color w:val="000000" w:themeColor="text1"/>
                <w:kern w:val="0"/>
                <w:sz w:val="21"/>
                <w:szCs w:val="21"/>
              </w:rPr>
              <w:t>：教育教学水平</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8</w:t>
            </w:r>
            <w:r>
              <w:rPr>
                <w:rFonts w:ascii="Times New Roman" w:hAnsi="Times New Roman" w:eastAsia="宋体" w:cs="Times New Roman"/>
                <w:color w:val="000000" w:themeColor="text1"/>
                <w:kern w:val="0"/>
                <w:sz w:val="21"/>
                <w:szCs w:val="21"/>
              </w:rPr>
              <w:t>：社会知名度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9</w:t>
            </w:r>
            <w:r>
              <w:rPr>
                <w:rFonts w:ascii="Times New Roman" w:hAnsi="Times New Roman" w:eastAsia="宋体" w:cs="Times New Roman"/>
                <w:color w:val="000000" w:themeColor="text1"/>
                <w:kern w:val="0"/>
                <w:sz w:val="21"/>
                <w:szCs w:val="21"/>
              </w:rPr>
              <w:t>：学校的社会影响力</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有所提升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w:t>
            </w:r>
            <w:r>
              <w:rPr>
                <w:rFonts w:hint="eastAsia" w:ascii="Times New Roman" w:hAnsi="Times New Roman" w:eastAsia="宋体" w:cs="Times New Roman"/>
                <w:color w:val="000000" w:themeColor="text1"/>
                <w:kern w:val="0"/>
                <w:sz w:val="21"/>
                <w:szCs w:val="21"/>
              </w:rPr>
              <w:t>10</w:t>
            </w:r>
            <w:r>
              <w:rPr>
                <w:rFonts w:ascii="Times New Roman" w:hAnsi="Times New Roman" w:eastAsia="宋体" w:cs="Times New Roman"/>
                <w:color w:val="000000" w:themeColor="text1"/>
                <w:kern w:val="0"/>
                <w:sz w:val="21"/>
                <w:szCs w:val="21"/>
              </w:rPr>
              <w:t>：网上办事效率</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明显提升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可持续影响指标</w:t>
            </w: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指标1：学生临床临床操作技能</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提高</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提高</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指标2：我校最热门报考专业</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10年</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第一年完成</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指标3：促进学校持续健康发展</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有效促进</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促进</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指标4：学校师资队伍建设快速发展</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有效促进</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促进</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指标5：提升学科领域的影响力</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不断提升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指标6：科研成果水平</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持续提升</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提升</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指标7：持续推进科研服务基础数据库及平台建设，促进高校科研基础保障持续健康发展</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持续完成</w:t>
            </w:r>
          </w:p>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有效促进</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基本完成</w:t>
            </w:r>
          </w:p>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促进</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widowControl/>
              <w:jc w:val="left"/>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指标8：信息化平台系统正常使用年限</w:t>
            </w:r>
          </w:p>
        </w:tc>
        <w:tc>
          <w:tcPr>
            <w:tcW w:w="1635" w:type="dxa"/>
            <w:vAlign w:val="center"/>
          </w:tcPr>
          <w:p>
            <w:pPr>
              <w:widowControl/>
              <w:jc w:val="center"/>
              <w:textAlignment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≥6年</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hint="eastAsia" w:ascii="Times New Roman" w:hAnsi="Times New Roman" w:eastAsia="宋体" w:cs="Times New Roman"/>
                <w:color w:val="000000" w:themeColor="text1"/>
                <w:kern w:val="0"/>
                <w:sz w:val="21"/>
                <w:szCs w:val="21"/>
              </w:rPr>
              <w:t>第一年正常运转</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满意度指标</w:t>
            </w:r>
          </w:p>
        </w:tc>
        <w:tc>
          <w:tcPr>
            <w:tcW w:w="675" w:type="dxa"/>
            <w:vMerge w:val="restart"/>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服务对象满意度指标</w:t>
            </w: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指标1：科研服务满意度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≥85%</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≥85%</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指标2：学生学习满意度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指标3：教师教学满意度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指标4：实习医院对学生临床技能操作满意度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≥80%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≥80%</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指标5：培训学员满意度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≥98 %</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90</w:t>
            </w:r>
            <w:r>
              <w:rPr>
                <w:rFonts w:ascii="Times New Roman" w:hAnsi="Times New Roman" w:eastAsia="宋体" w:cs="Times New Roman"/>
                <w:color w:val="000000" w:themeColor="text1"/>
                <w:kern w:val="0"/>
                <w:sz w:val="21"/>
                <w:szCs w:val="21"/>
              </w:rPr>
              <w:t>%</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指标6：教工读者满意度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满意</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满意</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指标7：学生读者满意度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满意</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满意</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jc w:val="center"/>
              <w:rPr>
                <w:rFonts w:ascii="Times New Roman" w:hAnsi="Times New Roman" w:eastAsia="宋体" w:cs="Times New Roman"/>
                <w:color w:val="000000" w:themeColor="text1"/>
                <w:kern w:val="0"/>
                <w:sz w:val="21"/>
                <w:szCs w:val="21"/>
              </w:rPr>
            </w:pPr>
          </w:p>
        </w:tc>
        <w:tc>
          <w:tcPr>
            <w:tcW w:w="660" w:type="dxa"/>
            <w:vMerge w:val="continue"/>
            <w:vAlign w:val="center"/>
          </w:tcPr>
          <w:p>
            <w:pPr>
              <w:jc w:val="center"/>
              <w:rPr>
                <w:rFonts w:ascii="Times New Roman" w:hAnsi="Times New Roman" w:eastAsia="宋体" w:cs="Times New Roman"/>
                <w:color w:val="000000" w:themeColor="text1"/>
                <w:kern w:val="0"/>
                <w:sz w:val="21"/>
                <w:szCs w:val="21"/>
              </w:rPr>
            </w:pPr>
          </w:p>
        </w:tc>
        <w:tc>
          <w:tcPr>
            <w:tcW w:w="675" w:type="dxa"/>
            <w:vMerge w:val="continue"/>
            <w:vAlign w:val="center"/>
          </w:tcPr>
          <w:p>
            <w:pPr>
              <w:jc w:val="center"/>
              <w:rPr>
                <w:rFonts w:ascii="Times New Roman" w:hAnsi="Times New Roman" w:eastAsia="宋体" w:cs="Times New Roman"/>
                <w:color w:val="000000" w:themeColor="text1"/>
                <w:kern w:val="0"/>
                <w:sz w:val="21"/>
                <w:szCs w:val="21"/>
              </w:rPr>
            </w:pPr>
          </w:p>
        </w:tc>
        <w:tc>
          <w:tcPr>
            <w:tcW w:w="3165" w:type="dxa"/>
            <w:gridSpan w:val="2"/>
            <w:vAlign w:val="center"/>
          </w:tcPr>
          <w:p>
            <w:pPr>
              <w:jc w:val="left"/>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指标8：信息化平台使用人员满意度</w:t>
            </w:r>
          </w:p>
        </w:tc>
        <w:tc>
          <w:tcPr>
            <w:tcW w:w="16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≥90%</w:t>
            </w:r>
          </w:p>
        </w:tc>
        <w:tc>
          <w:tcPr>
            <w:tcW w:w="130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w:t>
            </w:r>
            <w:r>
              <w:rPr>
                <w:rFonts w:hint="eastAsia" w:ascii="Times New Roman" w:hAnsi="Times New Roman" w:eastAsia="宋体" w:cs="Times New Roman"/>
                <w:color w:val="000000" w:themeColor="text1"/>
                <w:kern w:val="0"/>
                <w:sz w:val="21"/>
                <w:szCs w:val="21"/>
              </w:rPr>
              <w:t>85</w:t>
            </w:r>
            <w:r>
              <w:rPr>
                <w:rFonts w:ascii="Times New Roman" w:hAnsi="Times New Roman" w:eastAsia="宋体" w:cs="Times New Roman"/>
                <w:color w:val="000000" w:themeColor="text1"/>
                <w:kern w:val="0"/>
                <w:sz w:val="21"/>
                <w:szCs w:val="21"/>
              </w:rPr>
              <w:t>%</w:t>
            </w:r>
          </w:p>
        </w:tc>
        <w:tc>
          <w:tcPr>
            <w:tcW w:w="1335" w:type="dxa"/>
            <w:vMerge w:val="continue"/>
            <w:vAlign w:val="center"/>
          </w:tcPr>
          <w:p>
            <w:pPr>
              <w:jc w:val="center"/>
              <w:rPr>
                <w:rFonts w:ascii="Times New Roman" w:hAnsi="Times New Roman" w:eastAsia="宋体"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说明</w:t>
            </w:r>
          </w:p>
        </w:tc>
        <w:tc>
          <w:tcPr>
            <w:tcW w:w="8775" w:type="dxa"/>
            <w:gridSpan w:val="7"/>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无</w:t>
            </w:r>
          </w:p>
        </w:tc>
      </w:tr>
    </w:tbl>
    <w:p>
      <w:pPr>
        <w:rPr>
          <w:color w:val="000000" w:themeColor="text1"/>
          <w:sz w:val="36"/>
          <w:szCs w:val="36"/>
        </w:rPr>
      </w:pPr>
    </w:p>
    <w:p>
      <w:pPr>
        <w:rPr>
          <w:color w:val="000000" w:themeColor="text1"/>
          <w:sz w:val="36"/>
          <w:szCs w:val="36"/>
        </w:rPr>
      </w:pPr>
      <w:r>
        <w:rPr>
          <w:color w:val="000000" w:themeColor="text1"/>
          <w:sz w:val="36"/>
          <w:szCs w:val="36"/>
        </w:rPr>
        <w:br w:type="page"/>
      </w:r>
      <w:r>
        <w:rPr>
          <w:color w:val="000000" w:themeColor="text1"/>
        </w:rPr>
        <w:drawing>
          <wp:inline distT="0" distB="0" distL="0" distR="0">
            <wp:extent cx="6166485" cy="861187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66796" cy="8612250"/>
                    </a:xfrm>
                    <a:prstGeom prst="rect">
                      <a:avLst/>
                    </a:prstGeom>
                    <a:noFill/>
                    <a:ln>
                      <a:noFill/>
                    </a:ln>
                  </pic:spPr>
                </pic:pic>
              </a:graphicData>
            </a:graphic>
          </wp:inline>
        </w:drawing>
      </w:r>
    </w:p>
    <w:p>
      <w:pPr>
        <w:widowControl/>
        <w:jc w:val="left"/>
        <w:rPr>
          <w:color w:val="000000" w:themeColor="text1"/>
          <w:sz w:val="28"/>
          <w:szCs w:val="28"/>
        </w:rPr>
      </w:pPr>
      <w:r>
        <w:rPr>
          <w:rFonts w:hint="eastAsia" w:ascii="黑体" w:hAnsi="黑体" w:eastAsia="黑体"/>
          <w:color w:val="000000" w:themeColor="text1"/>
          <w:sz w:val="28"/>
          <w:szCs w:val="28"/>
        </w:rPr>
        <w:t>六、其他重要事项的情况说明。</w:t>
      </w:r>
    </w:p>
    <w:p>
      <w:pPr>
        <w:ind w:firstLine="560" w:firstLineChars="200"/>
        <w:outlineLvl w:val="1"/>
        <w:rPr>
          <w:color w:val="000000" w:themeColor="text1"/>
          <w:sz w:val="28"/>
          <w:szCs w:val="28"/>
        </w:rPr>
      </w:pPr>
      <w:r>
        <w:rPr>
          <w:rFonts w:hint="eastAsia"/>
          <w:color w:val="000000" w:themeColor="text1"/>
          <w:sz w:val="28"/>
          <w:szCs w:val="28"/>
        </w:rPr>
        <w:t>（一）行政运行经费支出情况</w:t>
      </w:r>
    </w:p>
    <w:p>
      <w:pPr>
        <w:ind w:firstLine="560" w:firstLineChars="200"/>
        <w:rPr>
          <w:color w:val="000000" w:themeColor="text1"/>
          <w:sz w:val="28"/>
          <w:szCs w:val="28"/>
        </w:rPr>
      </w:pPr>
      <w:r>
        <w:rPr>
          <w:rFonts w:hint="eastAsia"/>
          <w:color w:val="000000" w:themeColor="text1"/>
          <w:sz w:val="28"/>
          <w:szCs w:val="28"/>
        </w:rPr>
        <w:t>我单位为全额拨款事业单位，无行政运行经费支出。</w:t>
      </w:r>
    </w:p>
    <w:p>
      <w:pPr>
        <w:ind w:firstLine="560" w:firstLineChars="200"/>
        <w:outlineLvl w:val="1"/>
        <w:rPr>
          <w:color w:val="000000" w:themeColor="text1"/>
          <w:sz w:val="28"/>
          <w:szCs w:val="28"/>
        </w:rPr>
      </w:pPr>
      <w:r>
        <w:rPr>
          <w:rFonts w:hint="eastAsia"/>
          <w:color w:val="000000" w:themeColor="text1"/>
          <w:sz w:val="28"/>
          <w:szCs w:val="28"/>
        </w:rPr>
        <w:t>（二）政府采购支出情况</w:t>
      </w:r>
    </w:p>
    <w:p>
      <w:pPr>
        <w:ind w:firstLine="560" w:firstLineChars="200"/>
        <w:rPr>
          <w:color w:val="000000" w:themeColor="text1"/>
          <w:sz w:val="28"/>
          <w:szCs w:val="28"/>
        </w:rPr>
      </w:pPr>
      <w:r>
        <w:rPr>
          <w:rFonts w:hint="eastAsia"/>
          <w:color w:val="000000" w:themeColor="text1"/>
          <w:sz w:val="28"/>
          <w:szCs w:val="28"/>
        </w:rPr>
        <w:t>截止2018年末，本单位政府采购支出总额共6768万元，其中政府采购货物类支出2931万元、政府采购服务类支出966万元、政府采购工程类支出2871万元。</w:t>
      </w:r>
    </w:p>
    <w:p>
      <w:pPr>
        <w:ind w:firstLine="560" w:firstLineChars="200"/>
        <w:outlineLvl w:val="1"/>
        <w:rPr>
          <w:color w:val="000000" w:themeColor="text1"/>
          <w:sz w:val="28"/>
          <w:szCs w:val="28"/>
        </w:rPr>
      </w:pPr>
      <w:r>
        <w:rPr>
          <w:rFonts w:hint="eastAsia"/>
          <w:color w:val="000000" w:themeColor="text1"/>
          <w:sz w:val="28"/>
          <w:szCs w:val="28"/>
        </w:rPr>
        <w:t>（三）国有资产占用及购置情况说明。</w:t>
      </w:r>
    </w:p>
    <w:p>
      <w:pPr>
        <w:ind w:firstLine="560" w:firstLineChars="200"/>
        <w:rPr>
          <w:color w:val="000000" w:themeColor="text1"/>
          <w:sz w:val="28"/>
          <w:szCs w:val="28"/>
        </w:rPr>
      </w:pPr>
      <w:r>
        <w:rPr>
          <w:rFonts w:hint="eastAsia"/>
          <w:color w:val="000000" w:themeColor="text1"/>
          <w:sz w:val="28"/>
          <w:szCs w:val="28"/>
        </w:rPr>
        <w:t>截止2018年末，本单位所属车辆28辆；单价50万元以上的通用设备0台（套）；单价100万元以上的通用设备0台（套）；单价100万元以上的专用设备5台（套）。2018年当年未购置单价50万元以上的通用设备；未购置单价100万元以上的专用设备。</w:t>
      </w:r>
    </w:p>
    <w:p>
      <w:pPr>
        <w:ind w:firstLine="560" w:firstLineChars="200"/>
        <w:outlineLvl w:val="0"/>
        <w:rPr>
          <w:rFonts w:ascii="黑体" w:hAnsi="黑体" w:eastAsia="黑体"/>
          <w:color w:val="000000" w:themeColor="text1"/>
          <w:sz w:val="28"/>
          <w:szCs w:val="28"/>
        </w:rPr>
      </w:pPr>
      <w:r>
        <w:rPr>
          <w:rFonts w:hint="eastAsia" w:ascii="黑体" w:hAnsi="黑体" w:eastAsia="黑体"/>
          <w:color w:val="000000" w:themeColor="text1"/>
          <w:sz w:val="28"/>
          <w:szCs w:val="28"/>
        </w:rPr>
        <w:t>七、专业名称解释</w:t>
      </w:r>
    </w:p>
    <w:p>
      <w:pPr>
        <w:ind w:firstLine="560" w:firstLineChars="200"/>
        <w:rPr>
          <w:color w:val="000000" w:themeColor="text1"/>
          <w:sz w:val="28"/>
          <w:szCs w:val="28"/>
        </w:rPr>
      </w:pPr>
      <w:r>
        <w:rPr>
          <w:rFonts w:hint="eastAsia"/>
          <w:color w:val="000000" w:themeColor="text1"/>
          <w:sz w:val="28"/>
          <w:szCs w:val="28"/>
        </w:rPr>
        <w:t>1、基本支出：指为保障机构正常运转、完成日常工作任务而发生的各项支出。</w:t>
      </w:r>
    </w:p>
    <w:p>
      <w:pPr>
        <w:ind w:firstLine="560" w:firstLineChars="200"/>
        <w:rPr>
          <w:color w:val="000000" w:themeColor="text1"/>
          <w:sz w:val="28"/>
          <w:szCs w:val="28"/>
        </w:rPr>
      </w:pPr>
      <w:r>
        <w:rPr>
          <w:rFonts w:hint="eastAsia"/>
          <w:color w:val="000000" w:themeColor="text1"/>
          <w:sz w:val="28"/>
          <w:szCs w:val="28"/>
        </w:rPr>
        <w:t>2、项目支出：指单位为完成特定的行政工作任务或事业发展目标所发生的各项支出。</w:t>
      </w:r>
    </w:p>
    <w:p>
      <w:pPr>
        <w:ind w:firstLine="560" w:firstLineChars="200"/>
        <w:rPr>
          <w:color w:val="000000" w:themeColor="text1"/>
          <w:sz w:val="28"/>
          <w:szCs w:val="28"/>
        </w:rPr>
      </w:pPr>
      <w:r>
        <w:rPr>
          <w:rFonts w:hint="eastAsia"/>
          <w:color w:val="000000" w:themeColor="text1"/>
          <w:sz w:val="28"/>
          <w:szCs w:val="28"/>
        </w:rPr>
        <w:t>3、“三公”经费：指单位使用一般公共预算财政拨款安排的因公出国（境）费、公务用车购置及运行费和公务接待支出。</w:t>
      </w:r>
    </w:p>
    <w:p>
      <w:pPr>
        <w:ind w:firstLine="560" w:firstLineChars="200"/>
        <w:rPr>
          <w:color w:val="000000" w:themeColor="text1"/>
          <w:sz w:val="28"/>
          <w:szCs w:val="28"/>
        </w:rPr>
      </w:pPr>
      <w:r>
        <w:rPr>
          <w:rFonts w:hint="eastAsia"/>
          <w:color w:val="000000" w:themeColor="text1"/>
          <w:sz w:val="28"/>
          <w:szCs w:val="28"/>
        </w:rPr>
        <w:t>4、人员经费支出：指单位工作人员为开展公务活动而发生的用于个人方面的开支。本单位人员经费支出还包括学生奖助学金的支出。</w:t>
      </w:r>
    </w:p>
    <w:p>
      <w:pPr>
        <w:ind w:firstLine="560" w:firstLineChars="200"/>
        <w:rPr>
          <w:color w:val="000000" w:themeColor="text1"/>
          <w:sz w:val="28"/>
          <w:szCs w:val="28"/>
        </w:rPr>
      </w:pPr>
      <w:r>
        <w:rPr>
          <w:rFonts w:hint="eastAsia"/>
          <w:color w:val="000000" w:themeColor="text1"/>
          <w:sz w:val="28"/>
          <w:szCs w:val="28"/>
        </w:rPr>
        <w:t>5、日常公用经费支出：指单位为完成工作任务而用于公务活动方面的开支。</w:t>
      </w:r>
    </w:p>
    <w:p>
      <w:pPr>
        <w:ind w:firstLine="560" w:firstLineChars="200"/>
        <w:rPr>
          <w:color w:val="000000" w:themeColor="text1"/>
          <w:sz w:val="28"/>
          <w:szCs w:val="28"/>
        </w:rPr>
      </w:pPr>
      <w:r>
        <w:rPr>
          <w:rFonts w:hint="eastAsia"/>
          <w:color w:val="000000" w:themeColor="text1"/>
          <w:sz w:val="28"/>
          <w:szCs w:val="28"/>
        </w:rPr>
        <w:t>6、政府采购支出：指单位以政府采购为组织形式而开展日常活动或提供服务所发生的各项支出。</w:t>
      </w:r>
    </w:p>
    <w:p>
      <w:pPr>
        <w:ind w:firstLine="560" w:firstLineChars="200"/>
        <w:rPr>
          <w:color w:val="000000" w:themeColor="text1"/>
          <w:sz w:val="28"/>
          <w:szCs w:val="28"/>
        </w:rPr>
      </w:pPr>
      <w:r>
        <w:rPr>
          <w:rFonts w:hint="eastAsia"/>
          <w:color w:val="000000" w:themeColor="text1"/>
          <w:sz w:val="28"/>
          <w:szCs w:val="28"/>
        </w:rPr>
        <w:t>7、通用设备：指办公和基本业务用的通用性设备。包括办公家具、办公设备等。</w:t>
      </w:r>
    </w:p>
    <w:p>
      <w:pPr>
        <w:ind w:firstLine="560" w:firstLineChars="200"/>
        <w:rPr>
          <w:color w:val="000000" w:themeColor="text1"/>
          <w:sz w:val="28"/>
          <w:szCs w:val="28"/>
        </w:rPr>
      </w:pPr>
      <w:r>
        <w:rPr>
          <w:rFonts w:hint="eastAsia"/>
          <w:color w:val="000000" w:themeColor="text1"/>
          <w:sz w:val="28"/>
          <w:szCs w:val="28"/>
        </w:rPr>
        <w:t>8、专用设备：指各种具有专门性能和专门用途的设备。包括：医疗器械、科研仪器仪表等。</w:t>
      </w:r>
    </w:p>
    <w:p>
      <w:pPr>
        <w:rPr>
          <w:color w:val="000000" w:themeColor="text1"/>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895141"/>
      <w:docPartObj>
        <w:docPartGallery w:val="autotext"/>
      </w:docPartObj>
    </w:sdtPr>
    <w:sdtEndPr>
      <w:rPr>
        <w:sz w:val="24"/>
        <w:szCs w:val="28"/>
      </w:rPr>
    </w:sdtEndPr>
    <w:sdtContent>
      <w:p>
        <w:pPr>
          <w:pStyle w:val="3"/>
          <w:jc w:val="center"/>
          <w:rPr>
            <w:sz w:val="24"/>
            <w:szCs w:val="28"/>
          </w:rPr>
        </w:pPr>
        <w:r>
          <w:rPr>
            <w:sz w:val="24"/>
            <w:szCs w:val="28"/>
          </w:rPr>
          <w:fldChar w:fldCharType="begin"/>
        </w:r>
        <w:r>
          <w:rPr>
            <w:sz w:val="24"/>
            <w:szCs w:val="28"/>
          </w:rPr>
          <w:instrText xml:space="preserve">PAGE   \* MERGEFORMAT</w:instrText>
        </w:r>
        <w:r>
          <w:rPr>
            <w:sz w:val="24"/>
            <w:szCs w:val="28"/>
          </w:rPr>
          <w:fldChar w:fldCharType="separate"/>
        </w:r>
        <w:r>
          <w:rPr>
            <w:sz w:val="24"/>
            <w:szCs w:val="28"/>
            <w:lang w:val="zh-CN"/>
          </w:rPr>
          <w:t>6</w:t>
        </w:r>
        <w:r>
          <w:rPr>
            <w:sz w:val="24"/>
            <w:szCs w:val="28"/>
          </w:rPr>
          <w:fldChar w:fldCharType="end"/>
        </w:r>
      </w:p>
    </w:sdtContent>
  </w:sdt>
  <w:p>
    <w:pPr>
      <w:pStyle w:val="3"/>
      <w:jc w:val="center"/>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OGU5Mjc1NTJiMjM5NjMzZWZlYWMyYTkzODYyZmMifQ=="/>
  </w:docVars>
  <w:rsids>
    <w:rsidRoot w:val="00AF6F01"/>
    <w:rsid w:val="00007C39"/>
    <w:rsid w:val="0003789E"/>
    <w:rsid w:val="00072A04"/>
    <w:rsid w:val="0007327C"/>
    <w:rsid w:val="0009235A"/>
    <w:rsid w:val="000A089E"/>
    <w:rsid w:val="000C1EAF"/>
    <w:rsid w:val="000C718F"/>
    <w:rsid w:val="000F3A79"/>
    <w:rsid w:val="00130D4D"/>
    <w:rsid w:val="00173CC6"/>
    <w:rsid w:val="001A00E6"/>
    <w:rsid w:val="001B68A7"/>
    <w:rsid w:val="00253FF0"/>
    <w:rsid w:val="00280962"/>
    <w:rsid w:val="0028685A"/>
    <w:rsid w:val="002925A9"/>
    <w:rsid w:val="00296E53"/>
    <w:rsid w:val="00322EDC"/>
    <w:rsid w:val="003C16C3"/>
    <w:rsid w:val="003D1719"/>
    <w:rsid w:val="003D24B7"/>
    <w:rsid w:val="003E5355"/>
    <w:rsid w:val="003E580E"/>
    <w:rsid w:val="00415DBE"/>
    <w:rsid w:val="004671EF"/>
    <w:rsid w:val="00540003"/>
    <w:rsid w:val="005765DB"/>
    <w:rsid w:val="005A6F66"/>
    <w:rsid w:val="00652660"/>
    <w:rsid w:val="006F151F"/>
    <w:rsid w:val="00797E58"/>
    <w:rsid w:val="0080774C"/>
    <w:rsid w:val="00855A29"/>
    <w:rsid w:val="008F5597"/>
    <w:rsid w:val="00916AB2"/>
    <w:rsid w:val="00970C55"/>
    <w:rsid w:val="009839A5"/>
    <w:rsid w:val="009A359D"/>
    <w:rsid w:val="00A813FC"/>
    <w:rsid w:val="00AC3912"/>
    <w:rsid w:val="00AD264A"/>
    <w:rsid w:val="00AF6F01"/>
    <w:rsid w:val="00B424F5"/>
    <w:rsid w:val="00B75860"/>
    <w:rsid w:val="00BB19C9"/>
    <w:rsid w:val="00C21683"/>
    <w:rsid w:val="00CD50C2"/>
    <w:rsid w:val="00D15941"/>
    <w:rsid w:val="00D2086C"/>
    <w:rsid w:val="00D32FA4"/>
    <w:rsid w:val="00D34466"/>
    <w:rsid w:val="00D569DD"/>
    <w:rsid w:val="00DD63F3"/>
    <w:rsid w:val="00E24A18"/>
    <w:rsid w:val="00E4405F"/>
    <w:rsid w:val="00E45273"/>
    <w:rsid w:val="00EF4BD3"/>
    <w:rsid w:val="00F02F2A"/>
    <w:rsid w:val="00F124FA"/>
    <w:rsid w:val="00F253D8"/>
    <w:rsid w:val="00F86957"/>
    <w:rsid w:val="00FC3C5B"/>
    <w:rsid w:val="00FC784D"/>
    <w:rsid w:val="00FE1895"/>
    <w:rsid w:val="61573CAA"/>
    <w:rsid w:val="64E4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styleId="13">
    <w:name w:val="No Spacing"/>
    <w:link w:val="14"/>
    <w:qFormat/>
    <w:uiPriority w:val="1"/>
    <w:rPr>
      <w:rFonts w:asciiTheme="minorHAnsi" w:hAnsiTheme="minorHAnsi" w:eastAsiaTheme="minorEastAsia" w:cstheme="minorBidi"/>
      <w:kern w:val="0"/>
      <w:sz w:val="22"/>
      <w:szCs w:val="22"/>
      <w:lang w:val="en-US" w:eastAsia="zh-CN" w:bidi="ar-SA"/>
    </w:rPr>
  </w:style>
  <w:style w:type="character" w:customStyle="1" w:styleId="14">
    <w:name w:val="无间隔 Char"/>
    <w:basedOn w:val="7"/>
    <w:link w:val="13"/>
    <w:qFormat/>
    <w:uiPriority w:val="1"/>
    <w:rPr>
      <w:kern w:val="0"/>
      <w:sz w:val="22"/>
    </w:rPr>
  </w:style>
  <w:style w:type="character" w:customStyle="1" w:styleId="15">
    <w:name w:val="font01"/>
    <w:basedOn w:val="7"/>
    <w:qFormat/>
    <w:uiPriority w:val="0"/>
    <w:rPr>
      <w:rFonts w:hint="eastAsia" w:ascii="宋体" w:hAnsi="宋体" w:eastAsia="宋体" w:cs="宋体"/>
      <w:color w:val="000000"/>
      <w:sz w:val="24"/>
      <w:szCs w:val="24"/>
      <w:u w:val="none"/>
    </w:rPr>
  </w:style>
  <w:style w:type="character" w:customStyle="1" w:styleId="16">
    <w:name w:val="font3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emf"/><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18.&#35199;&#23433;&#21307;&#23398;&#3849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baseline="0">
                <a:effectLst/>
              </a:rPr>
              <a:t>西安医学院人员结构比例图</a:t>
            </a:r>
            <a:endParaRPr lang="zh-CN" altLang="zh-CN">
              <a:effectLst/>
            </a:endParaRPr>
          </a:p>
        </c:rich>
      </c:tx>
      <c:layout/>
      <c:overlay val="0"/>
    </c:title>
    <c:autoTitleDeleted val="0"/>
    <c:plotArea>
      <c:layout/>
      <c:ofPieChart>
        <c:ofPieType val="pie"/>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Sheet2!$E$11:$E$12</c:f>
              <c:strCache>
                <c:ptCount val="2"/>
                <c:pt idx="0">
                  <c:v>在职在编</c:v>
                </c:pt>
                <c:pt idx="1">
                  <c:v>离退休</c:v>
                </c:pt>
              </c:strCache>
            </c:strRef>
          </c:cat>
          <c:val>
            <c:numRef>
              <c:f>Sheet2!$F$11:$F$12</c:f>
              <c:numCache>
                <c:formatCode>General</c:formatCode>
                <c:ptCount val="2"/>
                <c:pt idx="0">
                  <c:v>707</c:v>
                </c:pt>
                <c:pt idx="1">
                  <c:v>8</c:v>
                </c:pt>
              </c:numCache>
            </c:numRef>
          </c:val>
        </c:ser>
        <c:dLbls>
          <c:showLegendKey val="0"/>
          <c:showVal val="0"/>
          <c:showCatName val="1"/>
          <c:showSerName val="0"/>
          <c:showPercent val="1"/>
          <c:showBubbleSize val="0"/>
          <c:showLeaderLines val="1"/>
        </c:dLbls>
        <c:gapWidth val="100"/>
        <c:secondPieSize val="75"/>
        <c:serLines/>
      </c:ofPieChart>
    </c:plotArea>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Sheet3!$G$73:$G$74</c:f>
              <c:strCache>
                <c:ptCount val="1"/>
                <c:pt idx="0">
                  <c:v>2018年度收入总体情况表 金额</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Sheet3!$F$75:$F$79</c:f>
              <c:strCache>
                <c:ptCount val="5"/>
                <c:pt idx="0">
                  <c:v>财政拨款收入</c:v>
                </c:pt>
                <c:pt idx="1">
                  <c:v>事业收入</c:v>
                </c:pt>
                <c:pt idx="2">
                  <c:v>其他收入</c:v>
                </c:pt>
                <c:pt idx="3">
                  <c:v>年初结转和结余</c:v>
                </c:pt>
                <c:pt idx="4">
                  <c:v>用事业基金弥补收支差额</c:v>
                </c:pt>
              </c:strCache>
            </c:strRef>
          </c:cat>
          <c:val>
            <c:numRef>
              <c:f>Sheet3!$G$75:$G$79</c:f>
              <c:numCache>
                <c:formatCode>#,##0.00</c:formatCode>
                <c:ptCount val="5"/>
                <c:pt idx="0">
                  <c:v>24791.28</c:v>
                </c:pt>
                <c:pt idx="1">
                  <c:v>12334.19</c:v>
                </c:pt>
                <c:pt idx="2">
                  <c:v>1052.54</c:v>
                </c:pt>
                <c:pt idx="3">
                  <c:v>2997.13</c:v>
                </c:pt>
                <c:pt idx="4" c:formatCode="General">
                  <c:v>7541.19</c:v>
                </c:pt>
              </c:numCache>
            </c:numRef>
          </c:val>
        </c:ser>
        <c:ser>
          <c:idx val="1"/>
          <c:order val="1"/>
          <c:tx>
            <c:strRef>
              <c:f>Sheet3!$H$73:$H$74</c:f>
              <c:strCache>
                <c:ptCount val="1"/>
                <c:pt idx="0">
                  <c:v>2018年度收入总体情况表 比例</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Sheet3!$F$75:$F$79</c:f>
              <c:strCache>
                <c:ptCount val="5"/>
                <c:pt idx="0">
                  <c:v>财政拨款收入</c:v>
                </c:pt>
                <c:pt idx="1">
                  <c:v>事业收入</c:v>
                </c:pt>
                <c:pt idx="2">
                  <c:v>其他收入</c:v>
                </c:pt>
                <c:pt idx="3">
                  <c:v>年初结转和结余</c:v>
                </c:pt>
                <c:pt idx="4">
                  <c:v>用事业基金弥补收支差额</c:v>
                </c:pt>
              </c:strCache>
            </c:strRef>
          </c:cat>
          <c:val>
            <c:numRef>
              <c:f>Sheet3!$H$75:$H$79</c:f>
              <c:numCache>
                <c:formatCode>0.00%</c:formatCode>
                <c:ptCount val="5"/>
                <c:pt idx="0">
                  <c:v>0.508890655123377</c:v>
                </c:pt>
                <c:pt idx="1">
                  <c:v>0.253183943286357</c:v>
                </c:pt>
                <c:pt idx="2">
                  <c:v>0.0216054907267216</c:v>
                </c:pt>
                <c:pt idx="3">
                  <c:v>0.0615220936228353</c:v>
                </c:pt>
                <c:pt idx="4">
                  <c:v>0.154798022510732</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60299287779994"/>
          <c:y val="0.197210807501089"/>
          <c:w val="0.44888888888889"/>
          <c:h val="0.748148148148149"/>
        </c:manualLayout>
      </c:layout>
      <c:pieChart>
        <c:varyColors val="1"/>
        <c:ser>
          <c:idx val="0"/>
          <c:order val="0"/>
          <c:tx>
            <c:strRef>
              <c:f>Sheet3!$G$92:$G$93</c:f>
              <c:strCache>
                <c:ptCount val="1"/>
                <c:pt idx="0">
                  <c:v>2018年度支出总体情况表 金额</c:v>
                </c:pt>
              </c:strCache>
            </c:strRef>
          </c:tx>
          <c:explosion val="25"/>
          <c:dPt>
            <c:idx val="0"/>
            <c:bubble3D val="0"/>
          </c:dPt>
          <c:dPt>
            <c:idx val="1"/>
            <c:bubble3D val="0"/>
          </c:dPt>
          <c:dPt>
            <c:idx val="2"/>
            <c:bubble3D val="0"/>
          </c:dPt>
          <c:dPt>
            <c:idx val="3"/>
            <c:bubble3D val="0"/>
          </c:dPt>
          <c:dPt>
            <c:idx val="4"/>
            <c:bubble3D val="0"/>
          </c:dPt>
          <c:dLbls>
            <c:delete val="1"/>
          </c:dLbls>
          <c:cat>
            <c:strRef>
              <c:f>Sheet3!$F$94:$F$98</c:f>
              <c:strCache>
                <c:ptCount val="5"/>
                <c:pt idx="0">
                  <c:v>教育支出</c:v>
                </c:pt>
                <c:pt idx="1">
                  <c:v>社会保障和就业支出</c:v>
                </c:pt>
                <c:pt idx="2">
                  <c:v>医疗卫生与计划生育支出</c:v>
                </c:pt>
                <c:pt idx="3">
                  <c:v>住房保障支出</c:v>
                </c:pt>
                <c:pt idx="4">
                  <c:v>年末结转和结余</c:v>
                </c:pt>
              </c:strCache>
            </c:strRef>
          </c:cat>
          <c:val>
            <c:numRef>
              <c:f>Sheet3!$G$94:$G$98</c:f>
              <c:numCache>
                <c:formatCode>#,##0.00</c:formatCode>
                <c:ptCount val="5"/>
                <c:pt idx="0">
                  <c:v>45238.09</c:v>
                </c:pt>
                <c:pt idx="1">
                  <c:v>365.25</c:v>
                </c:pt>
                <c:pt idx="2">
                  <c:v>1055.01</c:v>
                </c:pt>
                <c:pt idx="3">
                  <c:v>1218.77</c:v>
                </c:pt>
                <c:pt idx="4">
                  <c:v>839.2</c:v>
                </c:pt>
              </c:numCache>
            </c:numRef>
          </c:val>
        </c:ser>
        <c:ser>
          <c:idx val="1"/>
          <c:order val="1"/>
          <c:tx>
            <c:strRef>
              <c:f>Sheet3!$H$92:$H$93</c:f>
              <c:strCache>
                <c:ptCount val="1"/>
                <c:pt idx="0">
                  <c:v>2018年度支出总体情况表 比例</c:v>
                </c:pt>
              </c:strCache>
            </c:strRef>
          </c:tx>
          <c:explosion val="25"/>
          <c:dPt>
            <c:idx val="0"/>
            <c:bubble3D val="0"/>
          </c:dPt>
          <c:dPt>
            <c:idx val="1"/>
            <c:bubble3D val="0"/>
          </c:dPt>
          <c:dPt>
            <c:idx val="2"/>
            <c:bubble3D val="0"/>
          </c:dPt>
          <c:dPt>
            <c:idx val="3"/>
            <c:bubble3D val="0"/>
          </c:dPt>
          <c:dPt>
            <c:idx val="4"/>
            <c:bubble3D val="0"/>
          </c:dPt>
          <c:dLbls>
            <c:delete val="1"/>
          </c:dLbls>
          <c:cat>
            <c:strRef>
              <c:f>Sheet3!$F$94:$F$98</c:f>
              <c:strCache>
                <c:ptCount val="5"/>
                <c:pt idx="0">
                  <c:v>教育支出</c:v>
                </c:pt>
                <c:pt idx="1">
                  <c:v>社会保障和就业支出</c:v>
                </c:pt>
                <c:pt idx="2">
                  <c:v>医疗卫生与计划生育支出</c:v>
                </c:pt>
                <c:pt idx="3">
                  <c:v>住房保障支出</c:v>
                </c:pt>
                <c:pt idx="4">
                  <c:v>年末结转和结余</c:v>
                </c:pt>
              </c:strCache>
            </c:strRef>
          </c:cat>
          <c:val>
            <c:numRef>
              <c:f>Sheet3!$H$94:$H$98</c:f>
              <c:numCache>
                <c:formatCode>0.00%</c:formatCode>
                <c:ptCount val="5"/>
                <c:pt idx="0">
                  <c:v>0.928602365695931</c:v>
                </c:pt>
                <c:pt idx="1">
                  <c:v>0.00749748749495037</c:v>
                </c:pt>
                <c:pt idx="2">
                  <c:v>0.0216561924217593</c:v>
                </c:pt>
                <c:pt idx="3">
                  <c:v>0.0250176942757581</c:v>
                </c:pt>
                <c:pt idx="4">
                  <c:v>0.0172262601116012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2018</a:t>
            </a:r>
            <a:r>
              <a:rPr lang="zh-CN" altLang="en-US"/>
              <a:t>年度一般公共预算财政拨款支出情况表</a:t>
            </a:r>
            <a:endParaRPr lang="zh-CN" altLang="en-US"/>
          </a:p>
        </c:rich>
      </c:tx>
      <c:layout/>
      <c:overlay val="0"/>
    </c:title>
    <c:autoTitleDeleted val="0"/>
    <c:plotArea>
      <c:layout>
        <c:manualLayout>
          <c:layoutTarget val="inner"/>
          <c:xMode val="edge"/>
          <c:yMode val="edge"/>
          <c:x val="0.0220462972241708"/>
          <c:y val="0.181080004522934"/>
          <c:w val="0.9295075401562"/>
          <c:h val="0.493134392796201"/>
        </c:manualLayout>
      </c:layout>
      <c:barChart>
        <c:barDir val="col"/>
        <c:grouping val="standard"/>
        <c:varyColors val="0"/>
        <c:ser>
          <c:idx val="0"/>
          <c:order val="0"/>
          <c:tx>
            <c:strRef>
              <c:f>Sheet4!$H$36</c:f>
              <c:strCache>
                <c:ptCount val="1"/>
                <c:pt idx="0">
                  <c:v>年初预算</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Sheet4!$G$37:$G$40</c:f>
              <c:strCache>
                <c:ptCount val="4"/>
                <c:pt idx="0">
                  <c:v>教育支出</c:v>
                </c:pt>
                <c:pt idx="1">
                  <c:v>社会保障和就业支出</c:v>
                </c:pt>
                <c:pt idx="2">
                  <c:v>医疗卫生与计划生育支出</c:v>
                </c:pt>
                <c:pt idx="3">
                  <c:v>住房保障支出</c:v>
                </c:pt>
              </c:strCache>
            </c:strRef>
          </c:cat>
          <c:val>
            <c:numRef>
              <c:f>Sheet4!$H$37:$H$40</c:f>
              <c:numCache>
                <c:formatCode>General</c:formatCode>
                <c:ptCount val="4"/>
                <c:pt idx="0">
                  <c:v>8714.39</c:v>
                </c:pt>
                <c:pt idx="1">
                  <c:v>313.41</c:v>
                </c:pt>
                <c:pt idx="2">
                  <c:v>0</c:v>
                </c:pt>
                <c:pt idx="3">
                  <c:v>322.28</c:v>
                </c:pt>
              </c:numCache>
            </c:numRef>
          </c:val>
        </c:ser>
        <c:ser>
          <c:idx val="1"/>
          <c:order val="1"/>
          <c:tx>
            <c:strRef>
              <c:f>Sheet4!$I$36</c:f>
              <c:strCache>
                <c:ptCount val="1"/>
                <c:pt idx="0">
                  <c:v>决算</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Sheet4!$G$37:$G$40</c:f>
              <c:strCache>
                <c:ptCount val="4"/>
                <c:pt idx="0">
                  <c:v>教育支出</c:v>
                </c:pt>
                <c:pt idx="1">
                  <c:v>社会保障和就业支出</c:v>
                </c:pt>
                <c:pt idx="2">
                  <c:v>医疗卫生与计划生育支出</c:v>
                </c:pt>
                <c:pt idx="3">
                  <c:v>住房保障支出</c:v>
                </c:pt>
              </c:strCache>
            </c:strRef>
          </c:cat>
          <c:val>
            <c:numRef>
              <c:f>Sheet4!$I$37:$I$40</c:f>
              <c:numCache>
                <c:formatCode>General</c:formatCode>
                <c:ptCount val="4"/>
                <c:pt idx="0">
                  <c:v>26949.21</c:v>
                </c:pt>
                <c:pt idx="1">
                  <c:v>365.25</c:v>
                </c:pt>
                <c:pt idx="2">
                  <c:v>1055.01</c:v>
                </c:pt>
                <c:pt idx="3">
                  <c:v>322.28</c:v>
                </c:pt>
              </c:numCache>
            </c:numRef>
          </c:val>
        </c:ser>
        <c:ser>
          <c:idx val="2"/>
          <c:order val="2"/>
          <c:tx>
            <c:strRef>
              <c:f>Sheet4!$J$36</c:f>
              <c:strCache>
                <c:ptCount val="1"/>
                <c:pt idx="0">
                  <c:v>差额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Sheet4!$G$37:$G$40</c:f>
              <c:strCache>
                <c:ptCount val="4"/>
                <c:pt idx="0">
                  <c:v>教育支出</c:v>
                </c:pt>
                <c:pt idx="1">
                  <c:v>社会保障和就业支出</c:v>
                </c:pt>
                <c:pt idx="2">
                  <c:v>医疗卫生与计划生育支出</c:v>
                </c:pt>
                <c:pt idx="3">
                  <c:v>住房保障支出</c:v>
                </c:pt>
              </c:strCache>
            </c:strRef>
          </c:cat>
          <c:val>
            <c:numRef>
              <c:f>Sheet4!$J$37:$J$40</c:f>
              <c:numCache>
                <c:formatCode>General</c:formatCode>
                <c:ptCount val="4"/>
                <c:pt idx="0">
                  <c:v>18234.82</c:v>
                </c:pt>
                <c:pt idx="1">
                  <c:v>51.84</c:v>
                </c:pt>
                <c:pt idx="2">
                  <c:v>1055.01</c:v>
                </c:pt>
                <c:pt idx="3">
                  <c:v>0</c:v>
                </c:pt>
              </c:numCache>
            </c:numRef>
          </c:val>
        </c:ser>
        <c:dLbls>
          <c:showLegendKey val="0"/>
          <c:showVal val="1"/>
          <c:showCatName val="0"/>
          <c:showSerName val="0"/>
          <c:showPercent val="0"/>
          <c:showBubbleSize val="0"/>
        </c:dLbls>
        <c:gapWidth val="150"/>
        <c:axId val="150978944"/>
        <c:axId val="159975296"/>
      </c:barChart>
      <c:catAx>
        <c:axId val="15097894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9975296"/>
        <c:crosses val="autoZero"/>
        <c:auto val="1"/>
        <c:lblAlgn val="ctr"/>
        <c:lblOffset val="100"/>
        <c:noMultiLvlLbl val="0"/>
      </c:catAx>
      <c:valAx>
        <c:axId val="159975296"/>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978944"/>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57436570429"/>
          <c:y val="0.0514005540974045"/>
          <c:w val="0.707230096237971"/>
          <c:h val="0.502605715952173"/>
        </c:manualLayout>
      </c:layout>
      <c:barChart>
        <c:barDir val="col"/>
        <c:grouping val="clustered"/>
        <c:varyColors val="0"/>
        <c:ser>
          <c:idx val="0"/>
          <c:order val="0"/>
          <c:tx>
            <c:strRef>
              <c:f>Sheet2!$D$23</c:f>
              <c:strCache>
                <c:ptCount val="1"/>
                <c:pt idx="0">
                  <c:v>2017年</c:v>
                </c:pt>
              </c:strCache>
            </c:strRef>
          </c:tx>
          <c:invertIfNegative val="0"/>
          <c:dLbls>
            <c:delete val="1"/>
          </c:dLbls>
          <c:cat>
            <c:strRef>
              <c:f>Sheet2!$C$24:$C$27</c:f>
              <c:strCache>
                <c:ptCount val="4"/>
                <c:pt idx="0">
                  <c:v>1、因公出国（境）费</c:v>
                </c:pt>
                <c:pt idx="1">
                  <c:v>2、公务用车购置及运行维护费</c:v>
                </c:pt>
                <c:pt idx="2">
                  <c:v>3、公务接待费</c:v>
                </c:pt>
                <c:pt idx="3">
                  <c:v>支出合计</c:v>
                </c:pt>
              </c:strCache>
            </c:strRef>
          </c:cat>
          <c:val>
            <c:numRef>
              <c:f>Sheet2!$D$24:$D$27</c:f>
              <c:numCache>
                <c:formatCode>General</c:formatCode>
                <c:ptCount val="4"/>
                <c:pt idx="0">
                  <c:v>5</c:v>
                </c:pt>
                <c:pt idx="1">
                  <c:v>47</c:v>
                </c:pt>
                <c:pt idx="2">
                  <c:v>28.2</c:v>
                </c:pt>
                <c:pt idx="3">
                  <c:v>80.2</c:v>
                </c:pt>
              </c:numCache>
            </c:numRef>
          </c:val>
        </c:ser>
        <c:ser>
          <c:idx val="1"/>
          <c:order val="1"/>
          <c:tx>
            <c:strRef>
              <c:f>Sheet2!$E$23</c:f>
              <c:strCache>
                <c:ptCount val="1"/>
                <c:pt idx="0">
                  <c:v>2018年</c:v>
                </c:pt>
              </c:strCache>
            </c:strRef>
          </c:tx>
          <c:invertIfNegative val="0"/>
          <c:dLbls>
            <c:delete val="1"/>
          </c:dLbls>
          <c:cat>
            <c:strRef>
              <c:f>Sheet2!$C$24:$C$27</c:f>
              <c:strCache>
                <c:ptCount val="4"/>
                <c:pt idx="0">
                  <c:v>1、因公出国（境）费</c:v>
                </c:pt>
                <c:pt idx="1">
                  <c:v>2、公务用车购置及运行维护费</c:v>
                </c:pt>
                <c:pt idx="2">
                  <c:v>3、公务接待费</c:v>
                </c:pt>
                <c:pt idx="3">
                  <c:v>支出合计</c:v>
                </c:pt>
              </c:strCache>
            </c:strRef>
          </c:cat>
          <c:val>
            <c:numRef>
              <c:f>Sheet2!$E$24:$E$27</c:f>
              <c:numCache>
                <c:formatCode>General</c:formatCode>
                <c:ptCount val="4"/>
                <c:pt idx="0">
                  <c:v>5</c:v>
                </c:pt>
                <c:pt idx="1">
                  <c:v>40</c:v>
                </c:pt>
                <c:pt idx="2">
                  <c:v>30</c:v>
                </c:pt>
                <c:pt idx="3">
                  <c:v>75</c:v>
                </c:pt>
              </c:numCache>
            </c:numRef>
          </c:val>
        </c:ser>
        <c:ser>
          <c:idx val="2"/>
          <c:order val="2"/>
          <c:tx>
            <c:strRef>
              <c:f>Sheet2!$F$23</c:f>
              <c:strCache>
                <c:ptCount val="1"/>
                <c:pt idx="0">
                  <c:v>差异额</c:v>
                </c:pt>
              </c:strCache>
            </c:strRef>
          </c:tx>
          <c:invertIfNegative val="0"/>
          <c:dLbls>
            <c:delete val="1"/>
          </c:dLbls>
          <c:cat>
            <c:strRef>
              <c:f>Sheet2!$C$24:$C$27</c:f>
              <c:strCache>
                <c:ptCount val="4"/>
                <c:pt idx="0">
                  <c:v>1、因公出国（境）费</c:v>
                </c:pt>
                <c:pt idx="1">
                  <c:v>2、公务用车购置及运行维护费</c:v>
                </c:pt>
                <c:pt idx="2">
                  <c:v>3、公务接待费</c:v>
                </c:pt>
                <c:pt idx="3">
                  <c:v>支出合计</c:v>
                </c:pt>
              </c:strCache>
            </c:strRef>
          </c:cat>
          <c:val>
            <c:numRef>
              <c:f>Sheet2!$F$24:$F$27</c:f>
              <c:numCache>
                <c:formatCode>General</c:formatCode>
                <c:ptCount val="4"/>
                <c:pt idx="0">
                  <c:v>0</c:v>
                </c:pt>
                <c:pt idx="1">
                  <c:v>-7</c:v>
                </c:pt>
                <c:pt idx="2">
                  <c:v>1.8</c:v>
                </c:pt>
                <c:pt idx="3">
                  <c:v>-5.2</c:v>
                </c:pt>
              </c:numCache>
            </c:numRef>
          </c:val>
        </c:ser>
        <c:dLbls>
          <c:showLegendKey val="0"/>
          <c:showVal val="0"/>
          <c:showCatName val="0"/>
          <c:showSerName val="0"/>
          <c:showPercent val="0"/>
          <c:showBubbleSize val="0"/>
        </c:dLbls>
        <c:gapWidth val="150"/>
        <c:axId val="165539840"/>
        <c:axId val="165542528"/>
      </c:barChart>
      <c:catAx>
        <c:axId val="1655398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5542528"/>
        <c:crosses val="autoZero"/>
        <c:auto val="1"/>
        <c:lblAlgn val="ctr"/>
        <c:lblOffset val="100"/>
        <c:noMultiLvlLbl val="0"/>
      </c:catAx>
      <c:valAx>
        <c:axId val="1655425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55398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35</Pages>
  <Words>14932</Words>
  <Characters>18735</Characters>
  <Lines>155</Lines>
  <Paragraphs>43</Paragraphs>
  <TotalTime>0</TotalTime>
  <ScaleCrop>false</ScaleCrop>
  <LinksUpToDate>false</LinksUpToDate>
  <CharactersWithSpaces>19241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2019-08-30T01:22:00Z</dcterms:created>
  <dc:creator>微软用户</dc:creator>
  <cp:lastModifiedBy>慧儿宝</cp:lastModifiedBy>
  <cp:lastPrinted>2019-09-27T01:19:00Z</cp:lastPrinted>
  <dcterms:modified xsi:type="dcterms:W3CDTF">2022-06-20T07:33:06Z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9E70C09FE1404FCF9A7F51C3083F68B4</vt:lpwstr>
  </property>
</Properties>
</file>